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D0372D" w14:paraId="7CD5F6C6" w14:textId="77777777" w:rsidTr="00D0372D">
        <w:tc>
          <w:tcPr>
            <w:tcW w:w="0" w:type="auto"/>
            <w:vAlign w:val="center"/>
          </w:tcPr>
          <w:tbl>
            <w:tblPr>
              <w:tblW w:w="5000" w:type="pct"/>
              <w:tblCellMar>
                <w:left w:w="0" w:type="dxa"/>
                <w:right w:w="0" w:type="dxa"/>
              </w:tblCellMar>
              <w:tblLook w:val="04A0" w:firstRow="1" w:lastRow="0" w:firstColumn="1" w:lastColumn="0" w:noHBand="0" w:noVBand="1"/>
            </w:tblPr>
            <w:tblGrid>
              <w:gridCol w:w="2708"/>
              <w:gridCol w:w="6318"/>
            </w:tblGrid>
            <w:tr w:rsidR="00D0372D" w14:paraId="4CA9847F" w14:textId="77777777">
              <w:tc>
                <w:tcPr>
                  <w:tcW w:w="1500" w:type="pct"/>
                  <w:vAlign w:val="center"/>
                  <w:hideMark/>
                </w:tcPr>
                <w:p w14:paraId="0DA3B8A1" w14:textId="5BEE585E" w:rsidR="00D0372D" w:rsidRDefault="00D0372D">
                  <w:pPr>
                    <w:spacing w:after="720" w:line="360" w:lineRule="atLeast"/>
                    <w:rPr>
                      <w:rFonts w:eastAsia="Times New Roman"/>
                      <w:sz w:val="24"/>
                      <w:szCs w:val="24"/>
                    </w:rPr>
                  </w:pPr>
                  <w:r>
                    <w:rPr>
                      <w:rFonts w:eastAsia="Times New Roman"/>
                      <w:noProof/>
                      <w:sz w:val="24"/>
                      <w:szCs w:val="24"/>
                    </w:rPr>
                    <w:drawing>
                      <wp:inline distT="0" distB="0" distL="0" distR="0" wp14:anchorId="57A3CDC7" wp14:editId="6301ED02">
                        <wp:extent cx="304800" cy="3048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14:paraId="5CEEB52E" w14:textId="77777777" w:rsidR="00D0372D" w:rsidRDefault="00D0372D">
                  <w:pPr>
                    <w:spacing w:after="720" w:line="360" w:lineRule="atLeast"/>
                    <w:jc w:val="right"/>
                    <w:rPr>
                      <w:rFonts w:eastAsia="Times New Roman"/>
                      <w:sz w:val="21"/>
                      <w:szCs w:val="21"/>
                    </w:rPr>
                  </w:pPr>
                  <w:r>
                    <w:rPr>
                      <w:rFonts w:eastAsia="Times New Roman"/>
                      <w:vanish/>
                      <w:sz w:val="21"/>
                      <w:szCs w:val="21"/>
                    </w:rPr>
                    <w:t xml:space="preserve">Transgender Trend posted: " Some details of the proposed Department for Education (DfE) transgender guidance for schools have been published by the Sunday Times and The Telegraph this week. There are some promising proposals here but it is inconsistent on certain issues. DfE gu" </w:t>
                  </w:r>
                  <w:hyperlink r:id="rId6" w:history="1">
                    <w:r>
                      <w:rPr>
                        <w:rStyle w:val="Hyperlink"/>
                        <w:rFonts w:eastAsia="Times New Roman"/>
                        <w:b/>
                        <w:bCs/>
                        <w:color w:val="101517"/>
                        <w:sz w:val="21"/>
                        <w:szCs w:val="21"/>
                      </w:rPr>
                      <w:t>Transgender Trend</w:t>
                    </w:r>
                  </w:hyperlink>
                  <w:r>
                    <w:rPr>
                      <w:rStyle w:val="xheader-title"/>
                      <w:rFonts w:eastAsia="Times New Roman"/>
                      <w:sz w:val="21"/>
                      <w:szCs w:val="21"/>
                    </w:rPr>
                    <w:t xml:space="preserve"> </w:t>
                  </w:r>
                </w:p>
              </w:tc>
            </w:tr>
          </w:tbl>
          <w:p w14:paraId="1E4CCD5D" w14:textId="77777777" w:rsidR="00D0372D" w:rsidRDefault="00D0372D">
            <w:pPr>
              <w:pStyle w:val="Heading1"/>
              <w:spacing w:before="0" w:beforeAutospacing="0" w:after="240" w:afterAutospacing="0"/>
              <w:rPr>
                <w:rFonts w:eastAsia="Times New Roman"/>
                <w:color w:val="2D3338"/>
                <w:spacing w:val="-2"/>
                <w:sz w:val="60"/>
                <w:szCs w:val="60"/>
              </w:rPr>
            </w:pPr>
            <w:hyperlink r:id="rId7" w:history="1">
              <w:r>
                <w:rPr>
                  <w:rStyle w:val="Hyperlink"/>
                  <w:rFonts w:eastAsia="Times New Roman"/>
                  <w:color w:val="101517"/>
                  <w:spacing w:val="-2"/>
                  <w:sz w:val="60"/>
                  <w:szCs w:val="60"/>
                </w:rPr>
                <w:t>The gender affirmative model and social transition in schools</w:t>
              </w:r>
            </w:hyperlink>
            <w:r>
              <w:rPr>
                <w:rFonts w:eastAsia="Times New Roman"/>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026"/>
            </w:tblGrid>
            <w:tr w:rsidR="00D0372D" w14:paraId="42EC918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066"/>
                  </w:tblGrid>
                  <w:tr w:rsidR="00D0372D" w14:paraId="7925D65D" w14:textId="77777777">
                    <w:tc>
                      <w:tcPr>
                        <w:tcW w:w="960" w:type="dxa"/>
                        <w:vAlign w:val="center"/>
                        <w:hideMark/>
                      </w:tcPr>
                      <w:p w14:paraId="036F185E" w14:textId="6C1AB303" w:rsidR="00D0372D" w:rsidRDefault="00D0372D">
                        <w:pPr>
                          <w:spacing w:before="240" w:after="480"/>
                          <w:rPr>
                            <w:rFonts w:eastAsia="Times New Roman"/>
                            <w:sz w:val="24"/>
                            <w:szCs w:val="24"/>
                          </w:rPr>
                        </w:pPr>
                        <w:r>
                          <w:rPr>
                            <w:rFonts w:eastAsia="Times New Roman"/>
                            <w:noProof/>
                            <w:sz w:val="24"/>
                            <w:szCs w:val="24"/>
                          </w:rPr>
                          <w:drawing>
                            <wp:inline distT="0" distB="0" distL="0" distR="0" wp14:anchorId="421A4234" wp14:editId="7627B369">
                              <wp:extent cx="457200" cy="4572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vAlign w:val="center"/>
                        <w:hideMark/>
                      </w:tcPr>
                      <w:p w14:paraId="58068EBC" w14:textId="77777777" w:rsidR="00D0372D" w:rsidRDefault="00D0372D">
                        <w:pPr>
                          <w:pStyle w:val="xname"/>
                          <w:spacing w:before="0" w:beforeAutospacing="0" w:after="0" w:afterAutospacing="0"/>
                          <w:rPr>
                            <w:b/>
                            <w:bCs/>
                            <w:color w:val="101517"/>
                            <w:spacing w:val="-2"/>
                            <w:sz w:val="24"/>
                            <w:szCs w:val="24"/>
                          </w:rPr>
                        </w:pPr>
                        <w:r>
                          <w:rPr>
                            <w:b/>
                            <w:bCs/>
                            <w:color w:val="101517"/>
                            <w:spacing w:val="-2"/>
                            <w:sz w:val="24"/>
                            <w:szCs w:val="24"/>
                          </w:rPr>
                          <w:t>Transgender Trend</w:t>
                        </w:r>
                      </w:p>
                      <w:p w14:paraId="0E9EB22B" w14:textId="77777777" w:rsidR="00D0372D" w:rsidRDefault="00D0372D">
                        <w:pPr>
                          <w:pStyle w:val="xmeta"/>
                          <w:spacing w:before="0" w:beforeAutospacing="0" w:after="0" w:afterAutospacing="0"/>
                          <w:rPr>
                            <w:color w:val="646970"/>
                            <w:sz w:val="24"/>
                            <w:szCs w:val="24"/>
                          </w:rPr>
                        </w:pPr>
                        <w:r>
                          <w:rPr>
                            <w:color w:val="646970"/>
                            <w:sz w:val="24"/>
                            <w:szCs w:val="24"/>
                          </w:rPr>
                          <w:t xml:space="preserve">Apr 18 </w:t>
                        </w:r>
                      </w:p>
                    </w:tc>
                  </w:tr>
                </w:tbl>
                <w:p w14:paraId="3B9D9736" w14:textId="38E8774B" w:rsidR="00D0372D" w:rsidRDefault="00D0372D">
                  <w:pPr>
                    <w:shd w:val="clear" w:color="auto" w:fill="FFFFFF"/>
                    <w:jc w:val="center"/>
                    <w:rPr>
                      <w:rFonts w:eastAsia="Times New Roman"/>
                      <w:sz w:val="24"/>
                      <w:szCs w:val="24"/>
                    </w:rPr>
                  </w:pPr>
                  <w:r>
                    <w:rPr>
                      <w:rFonts w:eastAsia="Times New Roman"/>
                      <w:noProof/>
                      <w:color w:val="007117"/>
                      <w:sz w:val="24"/>
                      <w:szCs w:val="24"/>
                    </w:rPr>
                    <w:drawing>
                      <wp:inline distT="0" distB="0" distL="0" distR="0" wp14:anchorId="046AA8D9" wp14:editId="32BA8762">
                        <wp:extent cx="5731510" cy="3823970"/>
                        <wp:effectExtent l="0" t="0" r="2540" b="5080"/>
                        <wp:docPr id="1" name="Picture 1" descr="A group of students in a classroom&#10;&#10;Description automatically generated with low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tudents in a classroom&#10;&#10;Description automatically generated with low confidenc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23970"/>
                                </a:xfrm>
                                <a:prstGeom prst="rect">
                                  <a:avLst/>
                                </a:prstGeom>
                                <a:noFill/>
                                <a:ln>
                                  <a:noFill/>
                                </a:ln>
                              </pic:spPr>
                            </pic:pic>
                          </a:graphicData>
                        </a:graphic>
                      </wp:inline>
                    </w:drawing>
                  </w:r>
                </w:p>
                <w:p w14:paraId="27BEBBF9" w14:textId="77777777" w:rsidR="00D0372D" w:rsidRDefault="00D0372D">
                  <w:pPr>
                    <w:pStyle w:val="NormalWeb"/>
                    <w:spacing w:before="0" w:beforeAutospacing="0" w:after="360" w:afterAutospacing="0"/>
                    <w:rPr>
                      <w:color w:val="101517"/>
                      <w:sz w:val="24"/>
                      <w:szCs w:val="24"/>
                    </w:rPr>
                  </w:pPr>
                  <w:r>
                    <w:rPr>
                      <w:color w:val="101517"/>
                      <w:sz w:val="24"/>
                      <w:szCs w:val="24"/>
                    </w:rPr>
                    <w:t xml:space="preserve">Some details of the proposed Department for Education (DfE) transgender guidance for schools have been </w:t>
                  </w:r>
                  <w:hyperlink r:id="rId11" w:history="1">
                    <w:r>
                      <w:rPr>
                        <w:rStyle w:val="Hyperlink"/>
                        <w:color w:val="007117"/>
                        <w:sz w:val="24"/>
                        <w:szCs w:val="24"/>
                      </w:rPr>
                      <w:t>published by the Sunday Times</w:t>
                    </w:r>
                  </w:hyperlink>
                  <w:r>
                    <w:rPr>
                      <w:color w:val="101517"/>
                      <w:sz w:val="24"/>
                      <w:szCs w:val="24"/>
                    </w:rPr>
                    <w:t xml:space="preserve"> and </w:t>
                  </w:r>
                  <w:hyperlink r:id="rId12" w:history="1">
                    <w:r>
                      <w:rPr>
                        <w:rStyle w:val="Hyperlink"/>
                        <w:color w:val="007117"/>
                        <w:sz w:val="24"/>
                        <w:szCs w:val="24"/>
                      </w:rPr>
                      <w:t>The Telegraph</w:t>
                    </w:r>
                  </w:hyperlink>
                  <w:r>
                    <w:rPr>
                      <w:color w:val="101517"/>
                      <w:sz w:val="24"/>
                      <w:szCs w:val="24"/>
                    </w:rPr>
                    <w:t xml:space="preserve"> this week. There are some promising proposals </w:t>
                  </w:r>
                  <w:proofErr w:type="gramStart"/>
                  <w:r>
                    <w:rPr>
                      <w:color w:val="101517"/>
                      <w:sz w:val="24"/>
                      <w:szCs w:val="24"/>
                    </w:rPr>
                    <w:t>here</w:t>
                  </w:r>
                  <w:proofErr w:type="gramEnd"/>
                  <w:r>
                    <w:rPr>
                      <w:color w:val="101517"/>
                      <w:sz w:val="24"/>
                      <w:szCs w:val="24"/>
                    </w:rPr>
                    <w:t xml:space="preserve"> but it is inconsistent on certain issues. DfE guidance should start from the recognition that the gender affirmative model is a political demand, not a </w:t>
                  </w:r>
                  <w:proofErr w:type="gramStart"/>
                  <w:r>
                    <w:rPr>
                      <w:color w:val="101517"/>
                      <w:sz w:val="24"/>
                      <w:szCs w:val="24"/>
                    </w:rPr>
                    <w:t>clinically-developed</w:t>
                  </w:r>
                  <w:proofErr w:type="gramEnd"/>
                  <w:r>
                    <w:rPr>
                      <w:color w:val="101517"/>
                      <w:sz w:val="24"/>
                      <w:szCs w:val="24"/>
                    </w:rPr>
                    <w:t>, evidence-based approach.</w:t>
                  </w:r>
                </w:p>
                <w:p w14:paraId="5B3E12A0" w14:textId="77777777" w:rsidR="00D0372D" w:rsidRDefault="00D0372D">
                  <w:pPr>
                    <w:pStyle w:val="NormalWeb"/>
                    <w:spacing w:before="0" w:beforeAutospacing="0" w:after="360" w:afterAutospacing="0"/>
                    <w:rPr>
                      <w:color w:val="101517"/>
                      <w:sz w:val="24"/>
                      <w:szCs w:val="24"/>
                    </w:rPr>
                  </w:pPr>
                  <w:r>
                    <w:rPr>
                      <w:color w:val="101517"/>
                      <w:sz w:val="24"/>
                      <w:szCs w:val="24"/>
                    </w:rPr>
                    <w:t>The DfE must decide if schools are to follow either an activist approach or an approach in line with normal standards of safeguarding. It can’t be a bit of both.</w:t>
                  </w:r>
                </w:p>
                <w:p w14:paraId="775D75CA" w14:textId="77777777" w:rsidR="00D0372D" w:rsidRDefault="00D0372D">
                  <w:pPr>
                    <w:pStyle w:val="NormalWeb"/>
                    <w:spacing w:before="0" w:beforeAutospacing="0" w:after="360" w:afterAutospacing="0"/>
                    <w:rPr>
                      <w:color w:val="101517"/>
                      <w:sz w:val="24"/>
                      <w:szCs w:val="24"/>
                    </w:rPr>
                  </w:pPr>
                  <w:r>
                    <w:rPr>
                      <w:color w:val="101517"/>
                      <w:sz w:val="24"/>
                      <w:szCs w:val="24"/>
                    </w:rPr>
                    <w:t xml:space="preserve">The gender affirmative approach that led to harms at the Tavistock has become the established approach throughout society, including in schools. Schools have become the </w:t>
                  </w:r>
                  <w:r>
                    <w:rPr>
                      <w:color w:val="101517"/>
                      <w:sz w:val="24"/>
                      <w:szCs w:val="24"/>
                    </w:rPr>
                    <w:lastRenderedPageBreak/>
                    <w:t xml:space="preserve">meeting ground of activism that directly targets children online and through </w:t>
                  </w:r>
                  <w:proofErr w:type="gramStart"/>
                  <w:r>
                    <w:rPr>
                      <w:color w:val="101517"/>
                      <w:sz w:val="24"/>
                      <w:szCs w:val="24"/>
                    </w:rPr>
                    <w:t>schools</w:t>
                  </w:r>
                  <w:proofErr w:type="gramEnd"/>
                  <w:r>
                    <w:rPr>
                      <w:color w:val="101517"/>
                      <w:sz w:val="24"/>
                      <w:szCs w:val="24"/>
                    </w:rPr>
                    <w:t xml:space="preserve"> resources and is directed at teachers through training from groups such as Stonewall.</w:t>
                  </w:r>
                </w:p>
                <w:p w14:paraId="577CB547" w14:textId="77777777" w:rsidR="00D0372D" w:rsidRDefault="00D0372D">
                  <w:pPr>
                    <w:pStyle w:val="NormalWeb"/>
                    <w:spacing w:before="0" w:beforeAutospacing="0" w:after="360" w:afterAutospacing="0"/>
                    <w:rPr>
                      <w:color w:val="101517"/>
                      <w:sz w:val="24"/>
                      <w:szCs w:val="24"/>
                    </w:rPr>
                  </w:pPr>
                  <w:r>
                    <w:rPr>
                      <w:color w:val="101517"/>
                      <w:sz w:val="24"/>
                      <w:szCs w:val="24"/>
                    </w:rPr>
                    <w:t>Schools are institutions of education and learning. Gender affirmation, whether through the social transition of children or the teaching of ‘gender identity’ as fact, is not education but indoctrination into a belief. The purpose of schools is not to provide gender affirming care. It is not children’s job to provide gender affirming care to classmates as a condition of their education.</w:t>
                  </w:r>
                </w:p>
                <w:p w14:paraId="66433809" w14:textId="77777777" w:rsidR="00D0372D" w:rsidRDefault="00D0372D">
                  <w:pPr>
                    <w:pStyle w:val="NormalWeb"/>
                    <w:spacing w:before="0" w:beforeAutospacing="0" w:after="360" w:afterAutospacing="0"/>
                    <w:rPr>
                      <w:color w:val="101517"/>
                      <w:sz w:val="24"/>
                      <w:szCs w:val="24"/>
                    </w:rPr>
                  </w:pPr>
                  <w:r>
                    <w:rPr>
                      <w:color w:val="101517"/>
                      <w:sz w:val="24"/>
                      <w:szCs w:val="24"/>
                    </w:rPr>
                    <w:t>A school should create an environment of acceptance, it is not the school’s job to provide validation. Schools are not centres of gender transition and children are not the foot soldiers of a political movement.</w:t>
                  </w:r>
                </w:p>
                <w:p w14:paraId="3BC9A9E8" w14:textId="77777777" w:rsidR="00D0372D" w:rsidRDefault="00D0372D">
                  <w:pPr>
                    <w:pStyle w:val="NormalWeb"/>
                    <w:spacing w:before="0" w:beforeAutospacing="0" w:after="360" w:afterAutospacing="0"/>
                    <w:rPr>
                      <w:color w:val="101517"/>
                      <w:sz w:val="24"/>
                      <w:szCs w:val="24"/>
                    </w:rPr>
                  </w:pPr>
                  <w:r>
                    <w:rPr>
                      <w:color w:val="101517"/>
                      <w:sz w:val="24"/>
                      <w:szCs w:val="24"/>
                    </w:rPr>
                    <w:t>The draft proposals suggest that the government is tightening up guidance on some of the most contentious issues but still trying to please everyone. If guidance is confusing and inconsistent it will please no-one.</w:t>
                  </w:r>
                </w:p>
                <w:p w14:paraId="4287EDB1" w14:textId="77777777" w:rsidR="00D0372D" w:rsidRDefault="00D0372D">
                  <w:pPr>
                    <w:pStyle w:val="NormalWeb"/>
                    <w:spacing w:before="0" w:beforeAutospacing="0" w:after="360" w:afterAutospacing="0"/>
                    <w:rPr>
                      <w:color w:val="101517"/>
                      <w:sz w:val="24"/>
                      <w:szCs w:val="24"/>
                    </w:rPr>
                  </w:pPr>
                  <w:r>
                    <w:rPr>
                      <w:color w:val="101517"/>
                      <w:sz w:val="24"/>
                      <w:szCs w:val="24"/>
                    </w:rPr>
                    <w:t>The DfE needs to take the politics out of schools and focus on the issue as one of safeguarding children and balancing the rights of every child in the school. Policies need to be based not on ideology but on facts and reality.</w:t>
                  </w:r>
                </w:p>
                <w:p w14:paraId="73B672EB" w14:textId="77777777" w:rsidR="00D0372D" w:rsidRDefault="00D0372D" w:rsidP="005112E0">
                  <w:pPr>
                    <w:numPr>
                      <w:ilvl w:val="0"/>
                      <w:numId w:val="1"/>
                    </w:numPr>
                    <w:spacing w:before="100" w:beforeAutospacing="1" w:after="100" w:afterAutospacing="1"/>
                    <w:ind w:left="1440"/>
                    <w:rPr>
                      <w:rFonts w:eastAsia="Times New Roman"/>
                      <w:color w:val="101517"/>
                      <w:sz w:val="24"/>
                      <w:szCs w:val="24"/>
                    </w:rPr>
                  </w:pPr>
                  <w:r>
                    <w:rPr>
                      <w:rFonts w:eastAsia="Times New Roman"/>
                      <w:color w:val="101517"/>
                      <w:sz w:val="24"/>
                      <w:szCs w:val="24"/>
                    </w:rPr>
                    <w:t>We welcome the proposal that children will not be permitted to share changing or shower facilities with pupils of the opposite sex. This must also be the case for toilets and dormitories, for the dignity and privacy of all pupils and the safety of girls. Safeguarding of girls cannot be compromised by any lack of clarity in this area.</w:t>
                  </w:r>
                </w:p>
                <w:p w14:paraId="3963967C" w14:textId="77777777" w:rsidR="00D0372D" w:rsidRDefault="00D0372D" w:rsidP="005112E0">
                  <w:pPr>
                    <w:numPr>
                      <w:ilvl w:val="0"/>
                      <w:numId w:val="1"/>
                    </w:numPr>
                    <w:spacing w:before="360" w:after="100" w:afterAutospacing="1"/>
                    <w:ind w:left="1440"/>
                    <w:rPr>
                      <w:rFonts w:eastAsia="Times New Roman"/>
                      <w:color w:val="101517"/>
                      <w:sz w:val="24"/>
                      <w:szCs w:val="24"/>
                    </w:rPr>
                  </w:pPr>
                  <w:r>
                    <w:rPr>
                      <w:rFonts w:eastAsia="Times New Roman"/>
                      <w:color w:val="101517"/>
                      <w:sz w:val="24"/>
                      <w:szCs w:val="24"/>
                    </w:rPr>
                    <w:t xml:space="preserve">We also welcome guidance that boys are not permitted to take part in girls’ sports, but there is no justification for relaxing the rules around non-contact sports. Girls deserve fairness and a level playing field in all sports. The female category exists for this purpose. Fairness, </w:t>
                  </w:r>
                  <w:proofErr w:type="gramStart"/>
                  <w:r>
                    <w:rPr>
                      <w:rFonts w:eastAsia="Times New Roman"/>
                      <w:color w:val="101517"/>
                      <w:sz w:val="24"/>
                      <w:szCs w:val="24"/>
                    </w:rPr>
                    <w:t>equality</w:t>
                  </w:r>
                  <w:proofErr w:type="gramEnd"/>
                  <w:r>
                    <w:rPr>
                      <w:rFonts w:eastAsia="Times New Roman"/>
                      <w:color w:val="101517"/>
                      <w:sz w:val="24"/>
                      <w:szCs w:val="24"/>
                    </w:rPr>
                    <w:t xml:space="preserve"> and inclusion is achieved in sport by the exclusion of males from the female category. It is not achieved by exclusion of girls from podium places and awards by boys who ‘identify’ as girls, or by demoralising and demotivating girls so that they self-exclude from their own sports.</w:t>
                  </w:r>
                </w:p>
                <w:p w14:paraId="3C90E94A" w14:textId="77777777" w:rsidR="00D0372D" w:rsidRDefault="00D0372D">
                  <w:pPr>
                    <w:pStyle w:val="NormalWeb"/>
                    <w:spacing w:before="0" w:beforeAutospacing="0" w:after="360" w:afterAutospacing="0"/>
                    <w:rPr>
                      <w:color w:val="101517"/>
                      <w:sz w:val="24"/>
                      <w:szCs w:val="24"/>
                    </w:rPr>
                  </w:pPr>
                  <w:r>
                    <w:rPr>
                      <w:color w:val="101517"/>
                      <w:sz w:val="24"/>
                      <w:szCs w:val="24"/>
                    </w:rPr>
                    <w:t>Guidance from the DfE should be clear and unequivocal on these points.</w:t>
                  </w:r>
                </w:p>
                <w:p w14:paraId="1E529859" w14:textId="77777777" w:rsidR="00D0372D" w:rsidRDefault="00D0372D">
                  <w:pPr>
                    <w:pStyle w:val="Heading2"/>
                    <w:spacing w:before="720" w:beforeAutospacing="0" w:after="360" w:afterAutospacing="0"/>
                    <w:rPr>
                      <w:rFonts w:eastAsia="Times New Roman"/>
                      <w:color w:val="2D3338"/>
                      <w:sz w:val="42"/>
                      <w:szCs w:val="42"/>
                    </w:rPr>
                  </w:pPr>
                  <w:r>
                    <w:rPr>
                      <w:rFonts w:eastAsia="Times New Roman"/>
                      <w:color w:val="2D3338"/>
                      <w:sz w:val="42"/>
                      <w:szCs w:val="42"/>
                    </w:rPr>
                    <w:t>Social transition</w:t>
                  </w:r>
                </w:p>
                <w:p w14:paraId="61AB475A" w14:textId="77777777" w:rsidR="00D0372D" w:rsidRDefault="00D0372D">
                  <w:pPr>
                    <w:pStyle w:val="NormalWeb"/>
                    <w:spacing w:before="0" w:beforeAutospacing="0" w:after="360" w:afterAutospacing="0"/>
                    <w:rPr>
                      <w:color w:val="101517"/>
                      <w:sz w:val="24"/>
                      <w:szCs w:val="24"/>
                    </w:rPr>
                  </w:pPr>
                  <w:r>
                    <w:rPr>
                      <w:color w:val="101517"/>
                      <w:sz w:val="24"/>
                      <w:szCs w:val="24"/>
                    </w:rPr>
                    <w:lastRenderedPageBreak/>
                    <w:t xml:space="preserve">The DfE must not leave this issue up to individual </w:t>
                  </w:r>
                  <w:proofErr w:type="gramStart"/>
                  <w:r>
                    <w:rPr>
                      <w:color w:val="101517"/>
                      <w:sz w:val="24"/>
                      <w:szCs w:val="24"/>
                    </w:rPr>
                    <w:t>schools, but</w:t>
                  </w:r>
                  <w:proofErr w:type="gramEnd"/>
                  <w:r>
                    <w:rPr>
                      <w:color w:val="101517"/>
                      <w:sz w:val="24"/>
                      <w:szCs w:val="24"/>
                    </w:rPr>
                    <w:t xml:space="preserve"> provide clear guidance as a framework within which schools can adapt their existing safeguarding and behaviour management policies.</w:t>
                  </w:r>
                </w:p>
                <w:p w14:paraId="02DD2A4E" w14:textId="77777777" w:rsidR="00D0372D" w:rsidRDefault="00D0372D" w:rsidP="005112E0">
                  <w:pPr>
                    <w:numPr>
                      <w:ilvl w:val="0"/>
                      <w:numId w:val="2"/>
                    </w:numPr>
                    <w:spacing w:before="100" w:beforeAutospacing="1" w:after="100" w:afterAutospacing="1"/>
                    <w:ind w:left="1440"/>
                    <w:rPr>
                      <w:rFonts w:eastAsia="Times New Roman"/>
                      <w:color w:val="101517"/>
                      <w:sz w:val="24"/>
                      <w:szCs w:val="24"/>
                    </w:rPr>
                  </w:pPr>
                  <w:r>
                    <w:rPr>
                      <w:rFonts w:eastAsia="Times New Roman"/>
                      <w:color w:val="101517"/>
                      <w:sz w:val="24"/>
                      <w:szCs w:val="24"/>
                    </w:rPr>
                    <w:t>Both Cass and the NHS interim service specification were very cautious about social transition; in essence the conclusion was that evidence is lacking. In any case, it is outside the remit of the Cass Review and NHS policy reach to decide on policy affecting other children and their rights. This is the job of the Department for Education.</w:t>
                  </w:r>
                </w:p>
                <w:p w14:paraId="79ACA74F" w14:textId="77777777" w:rsidR="00D0372D" w:rsidRDefault="00D0372D" w:rsidP="005112E0">
                  <w:pPr>
                    <w:numPr>
                      <w:ilvl w:val="0"/>
                      <w:numId w:val="2"/>
                    </w:numPr>
                    <w:spacing w:before="360" w:after="100" w:afterAutospacing="1"/>
                    <w:ind w:left="1440"/>
                    <w:rPr>
                      <w:rFonts w:eastAsia="Times New Roman"/>
                      <w:color w:val="101517"/>
                      <w:sz w:val="24"/>
                      <w:szCs w:val="24"/>
                    </w:rPr>
                  </w:pPr>
                  <w:r>
                    <w:rPr>
                      <w:rFonts w:eastAsia="Times New Roman"/>
                      <w:color w:val="101517"/>
                      <w:sz w:val="24"/>
                      <w:szCs w:val="24"/>
                    </w:rPr>
                    <w:t>Gender self-ID is an activist demand. It has no place in schools, which should be politically neutral. Children may self-identify as anything they like, but teachers and other children cannot be compelled to agree with that child’s belief.</w:t>
                  </w:r>
                </w:p>
                <w:p w14:paraId="6F9B6BA6" w14:textId="77777777" w:rsidR="00D0372D" w:rsidRDefault="00D0372D" w:rsidP="005112E0">
                  <w:pPr>
                    <w:numPr>
                      <w:ilvl w:val="0"/>
                      <w:numId w:val="2"/>
                    </w:numPr>
                    <w:spacing w:before="360" w:after="100" w:afterAutospacing="1"/>
                    <w:ind w:left="1440"/>
                    <w:rPr>
                      <w:rFonts w:eastAsia="Times New Roman"/>
                      <w:color w:val="101517"/>
                      <w:sz w:val="24"/>
                      <w:szCs w:val="24"/>
                    </w:rPr>
                  </w:pPr>
                  <w:r>
                    <w:rPr>
                      <w:rFonts w:eastAsia="Times New Roman"/>
                      <w:color w:val="101517"/>
                      <w:sz w:val="24"/>
                      <w:szCs w:val="24"/>
                    </w:rPr>
                    <w:t xml:space="preserve">Use of ‘preferred pronouns’ is another political activist demand. Children should not be pulled into this kind of political activism in </w:t>
                  </w:r>
                  <w:proofErr w:type="gramStart"/>
                  <w:r>
                    <w:rPr>
                      <w:rFonts w:eastAsia="Times New Roman"/>
                      <w:color w:val="101517"/>
                      <w:sz w:val="24"/>
                      <w:szCs w:val="24"/>
                    </w:rPr>
                    <w:t>schools, or</w:t>
                  </w:r>
                  <w:proofErr w:type="gramEnd"/>
                  <w:r>
                    <w:rPr>
                      <w:rFonts w:eastAsia="Times New Roman"/>
                      <w:color w:val="101517"/>
                      <w:sz w:val="24"/>
                      <w:szCs w:val="24"/>
                    </w:rPr>
                    <w:t xml:space="preserve"> be compelled to unknowingly serve an activist agenda.</w:t>
                  </w:r>
                </w:p>
                <w:p w14:paraId="387DAA14" w14:textId="77777777" w:rsidR="00D0372D" w:rsidRDefault="00D0372D" w:rsidP="005112E0">
                  <w:pPr>
                    <w:numPr>
                      <w:ilvl w:val="0"/>
                      <w:numId w:val="2"/>
                    </w:numPr>
                    <w:spacing w:before="360" w:after="100" w:afterAutospacing="1"/>
                    <w:ind w:left="1440"/>
                    <w:rPr>
                      <w:rFonts w:eastAsia="Times New Roman"/>
                      <w:color w:val="101517"/>
                      <w:sz w:val="24"/>
                      <w:szCs w:val="24"/>
                    </w:rPr>
                  </w:pPr>
                  <w:r>
                    <w:rPr>
                      <w:rFonts w:eastAsia="Times New Roman"/>
                      <w:color w:val="101517"/>
                      <w:sz w:val="24"/>
                      <w:szCs w:val="24"/>
                    </w:rPr>
                    <w:t>Allowing a policy of ‘preferred pronouns’ can enable children to hold teachers to ransom and to bully their peers. A school cannot allow one child, but not others, to dictate the use of pronouns by their teachers and peers. This is unworkable in schools.</w:t>
                  </w:r>
                </w:p>
                <w:p w14:paraId="47F294F6" w14:textId="77777777" w:rsidR="00D0372D" w:rsidRDefault="00D0372D" w:rsidP="005112E0">
                  <w:pPr>
                    <w:numPr>
                      <w:ilvl w:val="0"/>
                      <w:numId w:val="2"/>
                    </w:numPr>
                    <w:spacing w:before="360" w:after="100" w:afterAutospacing="1"/>
                    <w:ind w:left="1440"/>
                    <w:rPr>
                      <w:rFonts w:eastAsia="Times New Roman"/>
                      <w:color w:val="101517"/>
                      <w:sz w:val="24"/>
                      <w:szCs w:val="24"/>
                    </w:rPr>
                  </w:pPr>
                  <w:r>
                    <w:rPr>
                      <w:rFonts w:eastAsia="Times New Roman"/>
                      <w:color w:val="101517"/>
                      <w:sz w:val="24"/>
                      <w:szCs w:val="24"/>
                    </w:rPr>
                    <w:t>Use of preferred pronouns is discriminatory towards neurodiverse, learning disabled or children with speech and language difficulties and those with protected beliefs.</w:t>
                  </w:r>
                </w:p>
                <w:p w14:paraId="40497716" w14:textId="77777777" w:rsidR="00D0372D" w:rsidRDefault="00D0372D">
                  <w:pPr>
                    <w:pStyle w:val="Heading2"/>
                    <w:spacing w:before="720" w:beforeAutospacing="0" w:after="360" w:afterAutospacing="0"/>
                    <w:rPr>
                      <w:rFonts w:eastAsia="Times New Roman"/>
                      <w:color w:val="2D3338"/>
                      <w:sz w:val="42"/>
                      <w:szCs w:val="42"/>
                    </w:rPr>
                  </w:pPr>
                  <w:r>
                    <w:rPr>
                      <w:rFonts w:eastAsia="Times New Roman"/>
                      <w:color w:val="2D3338"/>
                      <w:sz w:val="42"/>
                      <w:szCs w:val="42"/>
                    </w:rPr>
                    <w:t>The gender affirmative approach</w:t>
                  </w:r>
                </w:p>
                <w:p w14:paraId="5D6A590A" w14:textId="77777777" w:rsidR="00D0372D" w:rsidRDefault="00D0372D">
                  <w:pPr>
                    <w:pStyle w:val="NormalWeb"/>
                    <w:spacing w:before="0" w:beforeAutospacing="0" w:after="360" w:afterAutospacing="0"/>
                    <w:rPr>
                      <w:color w:val="101517"/>
                      <w:sz w:val="24"/>
                      <w:szCs w:val="24"/>
                    </w:rPr>
                  </w:pPr>
                  <w:r>
                    <w:rPr>
                      <w:color w:val="101517"/>
                      <w:sz w:val="24"/>
                      <w:szCs w:val="24"/>
                    </w:rPr>
                    <w:t xml:space="preserve">Social transition is a key aspect of the gender affirmative approach. This is not a </w:t>
                  </w:r>
                  <w:proofErr w:type="gramStart"/>
                  <w:r>
                    <w:rPr>
                      <w:color w:val="101517"/>
                      <w:sz w:val="24"/>
                      <w:szCs w:val="24"/>
                    </w:rPr>
                    <w:t>clinically-developed</w:t>
                  </w:r>
                  <w:proofErr w:type="gramEnd"/>
                  <w:r>
                    <w:rPr>
                      <w:color w:val="101517"/>
                      <w:sz w:val="24"/>
                      <w:szCs w:val="24"/>
                    </w:rPr>
                    <w:t xml:space="preserve"> ‘best practice’ approach but a very recent capitulation to activist demands. It is based on a belief in ‘gender identity’, an unevidenced and incoherent idea about inner gendered feelings.</w:t>
                  </w:r>
                </w:p>
                <w:p w14:paraId="53E6AA80" w14:textId="77777777" w:rsidR="00D0372D" w:rsidRDefault="00D0372D">
                  <w:pPr>
                    <w:pStyle w:val="NormalWeb"/>
                    <w:spacing w:before="0" w:beforeAutospacing="0" w:after="360" w:afterAutospacing="0"/>
                    <w:rPr>
                      <w:color w:val="101517"/>
                      <w:sz w:val="24"/>
                      <w:szCs w:val="24"/>
                    </w:rPr>
                  </w:pPr>
                  <w:r>
                    <w:rPr>
                      <w:color w:val="101517"/>
                      <w:sz w:val="24"/>
                      <w:szCs w:val="24"/>
                    </w:rPr>
                    <w:t>The gender affirmative model is not in line with normal standards of paediatric care, as referenced in the Cass Interim report:</w:t>
                  </w:r>
                  <w:hyperlink r:id="rId13" w:anchor="_ftn1" w:history="1">
                    <w:r>
                      <w:rPr>
                        <w:rStyle w:val="Hyperlink"/>
                        <w:color w:val="007117"/>
                        <w:sz w:val="24"/>
                        <w:szCs w:val="24"/>
                      </w:rPr>
                      <w:t>[1]</w:t>
                    </w:r>
                  </w:hyperlink>
                </w:p>
                <w:p w14:paraId="5327D07B" w14:textId="77777777" w:rsidR="00D0372D" w:rsidRDefault="00D0372D" w:rsidP="005112E0">
                  <w:pPr>
                    <w:numPr>
                      <w:ilvl w:val="0"/>
                      <w:numId w:val="3"/>
                    </w:numPr>
                    <w:spacing w:before="100" w:beforeAutospacing="1" w:after="100" w:afterAutospacing="1"/>
                    <w:ind w:left="1440"/>
                    <w:rPr>
                      <w:rFonts w:eastAsia="Times New Roman"/>
                      <w:color w:val="101517"/>
                      <w:sz w:val="24"/>
                      <w:szCs w:val="24"/>
                    </w:rPr>
                  </w:pPr>
                  <w:r>
                    <w:rPr>
                      <w:rFonts w:eastAsia="Times New Roman"/>
                      <w:color w:val="101517"/>
                      <w:sz w:val="24"/>
                      <w:szCs w:val="24"/>
                    </w:rPr>
                    <w:t>Education professionals should not feel under pressure, as health professionals have, to socially affirm children against normal professional standards of practice:</w:t>
                  </w:r>
                </w:p>
                <w:p w14:paraId="3975F2AC" w14:textId="77777777" w:rsidR="00D0372D" w:rsidRDefault="00D0372D">
                  <w:pPr>
                    <w:pStyle w:val="NormalWeb"/>
                    <w:shd w:val="clear" w:color="auto" w:fill="F6F7F7"/>
                    <w:spacing w:before="0" w:beforeAutospacing="0" w:after="0" w:afterAutospacing="0"/>
                    <w:rPr>
                      <w:color w:val="101517"/>
                      <w:sz w:val="24"/>
                      <w:szCs w:val="24"/>
                    </w:rPr>
                  </w:pPr>
                  <w:r>
                    <w:rPr>
                      <w:color w:val="101517"/>
                      <w:sz w:val="24"/>
                      <w:szCs w:val="24"/>
                    </w:rPr>
                    <w:lastRenderedPageBreak/>
                    <w:t>‘1.14. Primary and secondary care staff have told us that they feel under pressure to adopt an unquestioning affirmative approach and that this is at odds with the standard process of clinical assessment and diagnosis that they have been trained to undertake in all other clinical encounters.’</w:t>
                  </w:r>
                </w:p>
                <w:p w14:paraId="7CEB9137" w14:textId="77777777" w:rsidR="00D0372D" w:rsidRDefault="00D0372D" w:rsidP="005112E0">
                  <w:pPr>
                    <w:numPr>
                      <w:ilvl w:val="0"/>
                      <w:numId w:val="4"/>
                    </w:numPr>
                    <w:spacing w:before="100" w:beforeAutospacing="1" w:after="100" w:afterAutospacing="1"/>
                    <w:ind w:left="1440"/>
                    <w:rPr>
                      <w:rFonts w:eastAsia="Times New Roman"/>
                      <w:color w:val="101517"/>
                      <w:sz w:val="24"/>
                      <w:szCs w:val="24"/>
                    </w:rPr>
                  </w:pPr>
                  <w:r>
                    <w:rPr>
                      <w:rFonts w:eastAsia="Times New Roman"/>
                      <w:color w:val="101517"/>
                      <w:sz w:val="24"/>
                      <w:szCs w:val="24"/>
                    </w:rPr>
                    <w:t>The gender affirmative approach prevented differential diagnosis and led to diagnostic overshadowing at the Tavistock GIDS, which meant that other healthcare issues were missed:</w:t>
                  </w:r>
                </w:p>
                <w:p w14:paraId="742ED7EC" w14:textId="77777777" w:rsidR="00D0372D" w:rsidRDefault="00D0372D">
                  <w:pPr>
                    <w:pStyle w:val="NormalWeb"/>
                    <w:shd w:val="clear" w:color="auto" w:fill="F6F7F7"/>
                    <w:spacing w:before="0" w:beforeAutospacing="0" w:after="0" w:afterAutospacing="0"/>
                    <w:rPr>
                      <w:color w:val="101517"/>
                      <w:sz w:val="24"/>
                      <w:szCs w:val="24"/>
                    </w:rPr>
                  </w:pPr>
                  <w:r>
                    <w:rPr>
                      <w:color w:val="101517"/>
                      <w:sz w:val="24"/>
                      <w:szCs w:val="24"/>
                    </w:rPr>
                    <w:t>‘1.18 From the point of entry to GIDS there appears to be predominantly an affirmative, non-exploratory approach, often driven by child and parent expectations and the extent of social transition that has developed due to the delay in service provision.’</w:t>
                  </w:r>
                </w:p>
                <w:p w14:paraId="441E7D22" w14:textId="77777777" w:rsidR="00D0372D" w:rsidRDefault="00D0372D" w:rsidP="005112E0">
                  <w:pPr>
                    <w:numPr>
                      <w:ilvl w:val="0"/>
                      <w:numId w:val="5"/>
                    </w:numPr>
                    <w:spacing w:before="100" w:beforeAutospacing="1" w:after="100" w:afterAutospacing="1"/>
                    <w:ind w:left="1440"/>
                    <w:rPr>
                      <w:rFonts w:eastAsia="Times New Roman"/>
                      <w:color w:val="101517"/>
                      <w:sz w:val="24"/>
                      <w:szCs w:val="24"/>
                    </w:rPr>
                  </w:pPr>
                  <w:r>
                    <w:rPr>
                      <w:rFonts w:eastAsia="Times New Roman"/>
                      <w:color w:val="101517"/>
                      <w:sz w:val="24"/>
                      <w:szCs w:val="24"/>
                    </w:rPr>
                    <w:t>Schools should not be facilitating an approach that risks cementing a child’s identity and the associated belief that medical intervention is the answer:</w:t>
                  </w:r>
                </w:p>
                <w:p w14:paraId="60B359B1" w14:textId="77777777" w:rsidR="00D0372D" w:rsidRDefault="00D0372D">
                  <w:pPr>
                    <w:pStyle w:val="NormalWeb"/>
                    <w:shd w:val="clear" w:color="auto" w:fill="F6F7F7"/>
                    <w:spacing w:before="0" w:beforeAutospacing="0" w:after="0" w:afterAutospacing="0"/>
                    <w:rPr>
                      <w:color w:val="101517"/>
                      <w:sz w:val="24"/>
                      <w:szCs w:val="24"/>
                    </w:rPr>
                  </w:pPr>
                  <w:r>
                    <w:rPr>
                      <w:color w:val="101517"/>
                      <w:sz w:val="24"/>
                      <w:szCs w:val="24"/>
                    </w:rPr>
                    <w:t>‘By the time they are seen in the GIDS clinic, they may feel very certain of their gender identity and be anxious to start hormone treatment as quickly as possible.’</w:t>
                  </w:r>
                </w:p>
                <w:p w14:paraId="5B84BB0F" w14:textId="77777777" w:rsidR="00D0372D" w:rsidRDefault="00D0372D" w:rsidP="005112E0">
                  <w:pPr>
                    <w:numPr>
                      <w:ilvl w:val="0"/>
                      <w:numId w:val="6"/>
                    </w:numPr>
                    <w:spacing w:before="100" w:beforeAutospacing="1" w:after="100" w:afterAutospacing="1"/>
                    <w:ind w:left="1440"/>
                    <w:rPr>
                      <w:rFonts w:eastAsia="Times New Roman"/>
                      <w:color w:val="101517"/>
                      <w:sz w:val="24"/>
                      <w:szCs w:val="24"/>
                    </w:rPr>
                  </w:pPr>
                  <w:r>
                    <w:rPr>
                      <w:rFonts w:eastAsia="Times New Roman"/>
                      <w:color w:val="101517"/>
                      <w:sz w:val="24"/>
                      <w:szCs w:val="24"/>
                    </w:rPr>
                    <w:t xml:space="preserve">Teachers should not be compelled to actively intervene in a child’s treatment when the effects may be </w:t>
                  </w:r>
                  <w:proofErr w:type="gramStart"/>
                  <w:r>
                    <w:rPr>
                      <w:rFonts w:eastAsia="Times New Roman"/>
                      <w:color w:val="101517"/>
                      <w:sz w:val="24"/>
                      <w:szCs w:val="24"/>
                    </w:rPr>
                    <w:t>significant</w:t>
                  </w:r>
                  <w:proofErr w:type="gramEnd"/>
                  <w:r>
                    <w:rPr>
                      <w:rFonts w:eastAsia="Times New Roman"/>
                      <w:color w:val="101517"/>
                      <w:sz w:val="24"/>
                      <w:szCs w:val="24"/>
                    </w:rPr>
                    <w:t xml:space="preserve"> and the approach is disputed and lacks an evidence base:</w:t>
                  </w:r>
                </w:p>
                <w:p w14:paraId="0E090D89" w14:textId="77777777" w:rsidR="00D0372D" w:rsidRDefault="00D0372D">
                  <w:pPr>
                    <w:pStyle w:val="NormalWeb"/>
                    <w:shd w:val="clear" w:color="auto" w:fill="F6F7F7"/>
                    <w:spacing w:before="0" w:beforeAutospacing="0" w:after="0" w:afterAutospacing="0"/>
                    <w:rPr>
                      <w:color w:val="101517"/>
                      <w:sz w:val="24"/>
                      <w:szCs w:val="24"/>
                    </w:rPr>
                  </w:pPr>
                  <w:r>
                    <w:rPr>
                      <w:color w:val="101517"/>
                      <w:sz w:val="24"/>
                      <w:szCs w:val="24"/>
                    </w:rPr>
                    <w:t>‘5.19. However, it is important to view [social transition] as an active intervention because it may have significant effects on the child or young person in terms of their psychological functioning. There are different views on the benefits versus the harms of early social transition. Whatever position one takes, it is important to acknowledge that it is not a neutral act, and better information is needed about outcomes.’</w:t>
                  </w:r>
                </w:p>
                <w:p w14:paraId="0C590781" w14:textId="77777777" w:rsidR="00D0372D" w:rsidRDefault="00D0372D">
                  <w:pPr>
                    <w:pStyle w:val="Heading2"/>
                    <w:spacing w:before="720" w:beforeAutospacing="0" w:after="360" w:afterAutospacing="0"/>
                    <w:rPr>
                      <w:rFonts w:eastAsia="Times New Roman"/>
                      <w:color w:val="2D3338"/>
                      <w:sz w:val="42"/>
                      <w:szCs w:val="42"/>
                    </w:rPr>
                  </w:pPr>
                  <w:r>
                    <w:rPr>
                      <w:rFonts w:eastAsia="Times New Roman"/>
                      <w:color w:val="2D3338"/>
                      <w:sz w:val="42"/>
                      <w:szCs w:val="42"/>
                    </w:rPr>
                    <w:t>Risks</w:t>
                  </w:r>
                </w:p>
                <w:p w14:paraId="4E81A552" w14:textId="77777777" w:rsidR="00D0372D" w:rsidRDefault="00D0372D" w:rsidP="005112E0">
                  <w:pPr>
                    <w:numPr>
                      <w:ilvl w:val="0"/>
                      <w:numId w:val="7"/>
                    </w:numPr>
                    <w:spacing w:before="100" w:beforeAutospacing="1" w:after="100" w:afterAutospacing="1"/>
                    <w:ind w:left="1440"/>
                    <w:rPr>
                      <w:rFonts w:eastAsia="Times New Roman"/>
                      <w:color w:val="101517"/>
                      <w:sz w:val="24"/>
                      <w:szCs w:val="24"/>
                    </w:rPr>
                  </w:pPr>
                  <w:r>
                    <w:rPr>
                      <w:rFonts w:eastAsia="Times New Roman"/>
                      <w:color w:val="101517"/>
                      <w:sz w:val="24"/>
                      <w:szCs w:val="24"/>
                    </w:rPr>
                    <w:t>The Tavistock has since published the results of a study which found that there are no mental health benefits to social transition.</w:t>
                  </w:r>
                  <w:hyperlink r:id="rId14" w:anchor="_ftn2" w:history="1">
                    <w:r>
                      <w:rPr>
                        <w:rStyle w:val="Hyperlink"/>
                        <w:rFonts w:eastAsia="Times New Roman"/>
                        <w:color w:val="007117"/>
                        <w:sz w:val="24"/>
                        <w:szCs w:val="24"/>
                      </w:rPr>
                      <w:t>[2]</w:t>
                    </w:r>
                  </w:hyperlink>
                  <w:r>
                    <w:rPr>
                      <w:rFonts w:eastAsia="Times New Roman"/>
                      <w:color w:val="101517"/>
                      <w:sz w:val="24"/>
                      <w:szCs w:val="24"/>
                    </w:rPr>
                    <w:t xml:space="preserve"> Another recent study in Melbourne, Australia found that social transition during adolescence was associated with greater odds of adverse mental health outcomes.</w:t>
                  </w:r>
                  <w:hyperlink r:id="rId15" w:anchor="_ftn3" w:history="1">
                    <w:r>
                      <w:rPr>
                        <w:rStyle w:val="Hyperlink"/>
                        <w:rFonts w:eastAsia="Times New Roman"/>
                        <w:color w:val="007117"/>
                        <w:sz w:val="24"/>
                        <w:szCs w:val="24"/>
                      </w:rPr>
                      <w:t>[3]</w:t>
                    </w:r>
                  </w:hyperlink>
                  <w:r>
                    <w:rPr>
                      <w:rFonts w:eastAsia="Times New Roman"/>
                      <w:color w:val="101517"/>
                      <w:sz w:val="24"/>
                      <w:szCs w:val="24"/>
                    </w:rPr>
                    <w:t xml:space="preserve"> </w:t>
                  </w:r>
                </w:p>
                <w:p w14:paraId="5EB0233D" w14:textId="77777777" w:rsidR="00D0372D" w:rsidRDefault="00D0372D" w:rsidP="005112E0">
                  <w:pPr>
                    <w:numPr>
                      <w:ilvl w:val="0"/>
                      <w:numId w:val="7"/>
                    </w:numPr>
                    <w:spacing w:before="360" w:after="100" w:afterAutospacing="1"/>
                    <w:ind w:left="1440"/>
                    <w:rPr>
                      <w:rFonts w:eastAsia="Times New Roman"/>
                      <w:color w:val="101517"/>
                      <w:sz w:val="24"/>
                      <w:szCs w:val="24"/>
                    </w:rPr>
                  </w:pPr>
                  <w:r>
                    <w:rPr>
                      <w:rFonts w:eastAsia="Times New Roman"/>
                      <w:color w:val="101517"/>
                      <w:sz w:val="24"/>
                      <w:szCs w:val="24"/>
                    </w:rPr>
                    <w:t>The risks of social transition are outlined here by a clinical psychologist: Primary age children: ‘</w:t>
                  </w:r>
                  <w:hyperlink r:id="rId16" w:tgtFrame="_blank" w:history="1">
                    <w:r>
                      <w:rPr>
                        <w:rStyle w:val="Hyperlink"/>
                        <w:rFonts w:eastAsia="Times New Roman"/>
                        <w:color w:val="007117"/>
                        <w:sz w:val="24"/>
                        <w:szCs w:val="24"/>
                      </w:rPr>
                      <w:t>A Childhood is not Reversible.</w:t>
                    </w:r>
                  </w:hyperlink>
                  <w:r>
                    <w:rPr>
                      <w:rFonts w:eastAsia="Times New Roman"/>
                      <w:color w:val="101517"/>
                      <w:sz w:val="24"/>
                      <w:szCs w:val="24"/>
                    </w:rPr>
                    <w:t>’ Adolescents: ‘</w:t>
                  </w:r>
                  <w:hyperlink r:id="rId17" w:tgtFrame="_blank" w:history="1">
                    <w:r>
                      <w:rPr>
                        <w:rStyle w:val="Hyperlink"/>
                        <w:rFonts w:eastAsia="Times New Roman"/>
                        <w:color w:val="007117"/>
                        <w:sz w:val="24"/>
                        <w:szCs w:val="24"/>
                      </w:rPr>
                      <w:t>When a Teenager says they’re Transgender.</w:t>
                    </w:r>
                  </w:hyperlink>
                  <w:r>
                    <w:rPr>
                      <w:rFonts w:eastAsia="Times New Roman"/>
                      <w:color w:val="101517"/>
                      <w:sz w:val="24"/>
                      <w:szCs w:val="24"/>
                    </w:rPr>
                    <w:t>’</w:t>
                  </w:r>
                </w:p>
                <w:p w14:paraId="2644BCF2" w14:textId="77777777" w:rsidR="00D0372D" w:rsidRDefault="00D0372D" w:rsidP="005112E0">
                  <w:pPr>
                    <w:numPr>
                      <w:ilvl w:val="0"/>
                      <w:numId w:val="8"/>
                    </w:numPr>
                    <w:spacing w:before="100" w:beforeAutospacing="1" w:after="100" w:afterAutospacing="1"/>
                    <w:ind w:left="1440"/>
                    <w:rPr>
                      <w:rFonts w:eastAsia="Times New Roman"/>
                      <w:color w:val="101517"/>
                      <w:sz w:val="24"/>
                      <w:szCs w:val="24"/>
                    </w:rPr>
                  </w:pPr>
                  <w:r>
                    <w:rPr>
                      <w:rFonts w:eastAsia="Times New Roman"/>
                      <w:color w:val="101517"/>
                      <w:sz w:val="24"/>
                      <w:szCs w:val="24"/>
                    </w:rPr>
                    <w:t xml:space="preserve">If a child is experiencing genuine distress, that is a matter for the professionals and should be dealt with in </w:t>
                  </w:r>
                  <w:proofErr w:type="gramStart"/>
                  <w:r>
                    <w:rPr>
                      <w:rFonts w:eastAsia="Times New Roman"/>
                      <w:color w:val="101517"/>
                      <w:sz w:val="24"/>
                      <w:szCs w:val="24"/>
                    </w:rPr>
                    <w:t>exactly the same</w:t>
                  </w:r>
                  <w:proofErr w:type="gramEnd"/>
                  <w:r>
                    <w:rPr>
                      <w:rFonts w:eastAsia="Times New Roman"/>
                      <w:color w:val="101517"/>
                      <w:sz w:val="24"/>
                      <w:szCs w:val="24"/>
                    </w:rPr>
                    <w:t xml:space="preserve"> way as a school would manage any other child with psychological/mental health issues. Policy in this area should not undermine the unambiguous advice for schools and </w:t>
                  </w:r>
                  <w:r>
                    <w:rPr>
                      <w:rFonts w:eastAsia="Times New Roman"/>
                      <w:color w:val="101517"/>
                      <w:sz w:val="24"/>
                      <w:szCs w:val="24"/>
                    </w:rPr>
                    <w:lastRenderedPageBreak/>
                    <w:t>colleges, as set out in statutory DfE guidance, that in relation to mental health issues:</w:t>
                  </w:r>
                </w:p>
                <w:p w14:paraId="361144F7" w14:textId="77777777" w:rsidR="00D0372D" w:rsidRDefault="00D0372D">
                  <w:pPr>
                    <w:pStyle w:val="NormalWeb"/>
                    <w:shd w:val="clear" w:color="auto" w:fill="F6F7F7"/>
                    <w:spacing w:before="0" w:beforeAutospacing="0" w:after="0" w:afterAutospacing="0"/>
                    <w:rPr>
                      <w:color w:val="101517"/>
                      <w:sz w:val="24"/>
                      <w:szCs w:val="24"/>
                    </w:rPr>
                  </w:pPr>
                  <w:r>
                    <w:rPr>
                      <w:color w:val="101517"/>
                      <w:sz w:val="24"/>
                      <w:szCs w:val="24"/>
                    </w:rPr>
                    <w:t>‘School and college staff are not expected to, and should not, diagnose mental health conditions or perform mental health interventions.’</w:t>
                  </w:r>
                </w:p>
                <w:p w14:paraId="4F8F8249" w14:textId="77777777" w:rsidR="00D0372D" w:rsidRDefault="00D0372D">
                  <w:pPr>
                    <w:pStyle w:val="NormalWeb"/>
                    <w:shd w:val="clear" w:color="auto" w:fill="F6F7F7"/>
                    <w:spacing w:before="0" w:beforeAutospacing="0" w:after="0" w:afterAutospacing="0"/>
                    <w:rPr>
                      <w:color w:val="101517"/>
                      <w:sz w:val="24"/>
                      <w:szCs w:val="24"/>
                    </w:rPr>
                  </w:pPr>
                  <w:hyperlink r:id="rId18" w:tgtFrame="_blank" w:history="1">
                    <w:r>
                      <w:rPr>
                        <w:rStyle w:val="Hyperlink"/>
                        <w:color w:val="007117"/>
                        <w:sz w:val="19"/>
                        <w:szCs w:val="19"/>
                      </w:rPr>
                      <w:t>https://www.gov.uk/guidance/mental-health-and-wellbeing-support-in-schools-and-college</w:t>
                    </w:r>
                  </w:hyperlink>
                  <w:r>
                    <w:rPr>
                      <w:color w:val="101517"/>
                      <w:sz w:val="24"/>
                      <w:szCs w:val="24"/>
                    </w:rPr>
                    <w:t xml:space="preserve"> </w:t>
                  </w:r>
                </w:p>
                <w:p w14:paraId="4F85FA18" w14:textId="77777777" w:rsidR="00D0372D" w:rsidRDefault="00D0372D" w:rsidP="005112E0">
                  <w:pPr>
                    <w:numPr>
                      <w:ilvl w:val="0"/>
                      <w:numId w:val="9"/>
                    </w:numPr>
                    <w:spacing w:before="100" w:beforeAutospacing="1" w:after="100" w:afterAutospacing="1"/>
                    <w:ind w:left="1440"/>
                    <w:rPr>
                      <w:rFonts w:eastAsia="Times New Roman"/>
                      <w:color w:val="101517"/>
                      <w:sz w:val="24"/>
                      <w:szCs w:val="24"/>
                    </w:rPr>
                  </w:pPr>
                  <w:r>
                    <w:rPr>
                      <w:rFonts w:eastAsia="Times New Roman"/>
                      <w:color w:val="101517"/>
                      <w:sz w:val="24"/>
                      <w:szCs w:val="24"/>
                    </w:rPr>
                    <w:t xml:space="preserve">Intervening in a child’s development, in an area where teachers are unqualified, puts teachers at professional risk </w:t>
                  </w:r>
                  <w:proofErr w:type="gramStart"/>
                  <w:r>
                    <w:rPr>
                      <w:rFonts w:eastAsia="Times New Roman"/>
                      <w:color w:val="101517"/>
                      <w:sz w:val="24"/>
                      <w:szCs w:val="24"/>
                    </w:rPr>
                    <w:t>and also</w:t>
                  </w:r>
                  <w:proofErr w:type="gramEnd"/>
                  <w:r>
                    <w:rPr>
                      <w:rFonts w:eastAsia="Times New Roman"/>
                      <w:color w:val="101517"/>
                      <w:sz w:val="24"/>
                      <w:szCs w:val="24"/>
                    </w:rPr>
                    <w:t xml:space="preserve"> risks making mental health issues worse for the child.</w:t>
                  </w:r>
                </w:p>
                <w:p w14:paraId="61D840CF" w14:textId="77777777" w:rsidR="00D0372D" w:rsidRDefault="00D0372D" w:rsidP="005112E0">
                  <w:pPr>
                    <w:numPr>
                      <w:ilvl w:val="0"/>
                      <w:numId w:val="9"/>
                    </w:numPr>
                    <w:spacing w:before="360" w:after="100" w:afterAutospacing="1"/>
                    <w:ind w:left="1440"/>
                    <w:rPr>
                      <w:rFonts w:eastAsia="Times New Roman"/>
                      <w:color w:val="101517"/>
                      <w:sz w:val="24"/>
                      <w:szCs w:val="24"/>
                    </w:rPr>
                  </w:pPr>
                  <w:r>
                    <w:rPr>
                      <w:rFonts w:eastAsia="Times New Roman"/>
                      <w:color w:val="101517"/>
                      <w:sz w:val="24"/>
                      <w:szCs w:val="24"/>
                    </w:rPr>
                    <w:t>Schools should not be the starting point of the gender affirmative care pathway that leads from affirmation to social transition to medical intervention.</w:t>
                  </w:r>
                </w:p>
                <w:p w14:paraId="403B3A16" w14:textId="77777777" w:rsidR="00D0372D" w:rsidRDefault="00D0372D" w:rsidP="005112E0">
                  <w:pPr>
                    <w:numPr>
                      <w:ilvl w:val="0"/>
                      <w:numId w:val="9"/>
                    </w:numPr>
                    <w:spacing w:before="360" w:after="100" w:afterAutospacing="1"/>
                    <w:ind w:left="1440"/>
                    <w:rPr>
                      <w:rFonts w:eastAsia="Times New Roman"/>
                      <w:color w:val="101517"/>
                      <w:sz w:val="24"/>
                      <w:szCs w:val="24"/>
                    </w:rPr>
                  </w:pPr>
                  <w:r>
                    <w:rPr>
                      <w:rFonts w:eastAsia="Times New Roman"/>
                      <w:color w:val="101517"/>
                      <w:sz w:val="24"/>
                      <w:szCs w:val="24"/>
                    </w:rPr>
                    <w:t>The groups of children most likely to be on this pathway are adolescent girls, autistic children, gay and lesbian adolescents, children in the care system and those with mental health problems. Unquestioning affirmation of these most vulnerable groups is negligence.</w:t>
                  </w:r>
                </w:p>
                <w:p w14:paraId="3B30459E" w14:textId="77777777" w:rsidR="00D0372D" w:rsidRDefault="00D0372D">
                  <w:pPr>
                    <w:pStyle w:val="Heading2"/>
                    <w:spacing w:before="720" w:beforeAutospacing="0" w:after="360" w:afterAutospacing="0"/>
                    <w:rPr>
                      <w:rFonts w:eastAsia="Times New Roman"/>
                      <w:color w:val="2D3338"/>
                      <w:sz w:val="42"/>
                      <w:szCs w:val="42"/>
                    </w:rPr>
                  </w:pPr>
                  <w:r>
                    <w:rPr>
                      <w:rFonts w:eastAsia="Times New Roman"/>
                      <w:color w:val="2D3338"/>
                      <w:sz w:val="42"/>
                      <w:szCs w:val="42"/>
                    </w:rPr>
                    <w:t>Impact on other pupils</w:t>
                  </w:r>
                </w:p>
                <w:p w14:paraId="45EBA041" w14:textId="77777777" w:rsidR="00D0372D" w:rsidRDefault="00D0372D">
                  <w:pPr>
                    <w:pStyle w:val="NormalWeb"/>
                    <w:spacing w:before="0" w:beforeAutospacing="0" w:after="360" w:afterAutospacing="0"/>
                    <w:rPr>
                      <w:color w:val="101517"/>
                      <w:sz w:val="24"/>
                      <w:szCs w:val="24"/>
                    </w:rPr>
                  </w:pPr>
                  <w:r>
                    <w:rPr>
                      <w:color w:val="101517"/>
                      <w:sz w:val="24"/>
                      <w:szCs w:val="24"/>
                    </w:rPr>
                    <w:t>While much attention has been paid, over the last few years, to the medical experiment on children experiencing gender-related distress, there has been little concern about the social experiment of gender affirmation on the child, or on all the children around that child, whether siblings or classmates at school.  </w:t>
                  </w:r>
                </w:p>
                <w:p w14:paraId="7B6FBFFE" w14:textId="77777777" w:rsidR="00D0372D" w:rsidRDefault="00D0372D" w:rsidP="005112E0">
                  <w:pPr>
                    <w:numPr>
                      <w:ilvl w:val="0"/>
                      <w:numId w:val="10"/>
                    </w:numPr>
                    <w:spacing w:before="100" w:beforeAutospacing="1" w:after="100" w:afterAutospacing="1"/>
                    <w:ind w:left="1440"/>
                    <w:rPr>
                      <w:rFonts w:eastAsia="Times New Roman"/>
                      <w:color w:val="101517"/>
                      <w:sz w:val="24"/>
                      <w:szCs w:val="24"/>
                    </w:rPr>
                  </w:pPr>
                  <w:r>
                    <w:rPr>
                      <w:rFonts w:eastAsia="Times New Roman"/>
                      <w:color w:val="101517"/>
                      <w:sz w:val="24"/>
                      <w:szCs w:val="24"/>
                    </w:rPr>
                    <w:t>Gender affirmation politicises not just the gender distressed child, but every other child in the school. Once a school classes just one boy as a ‘transgender girl’ then every other girl in the school becomes a ‘cisgender girl.’ Any girl who feels she doesn’t conform to feminine stereotypes is compelled through this model to self-identify as non-binary. There is no space – and no flag – for the girl who does not conform to sex role stereotypes in the gender identity model.</w:t>
                  </w:r>
                </w:p>
                <w:p w14:paraId="09256013" w14:textId="77777777" w:rsidR="00D0372D" w:rsidRDefault="00D0372D" w:rsidP="005112E0">
                  <w:pPr>
                    <w:numPr>
                      <w:ilvl w:val="0"/>
                      <w:numId w:val="10"/>
                    </w:numPr>
                    <w:spacing w:before="360" w:after="100" w:afterAutospacing="1"/>
                    <w:ind w:left="1440"/>
                    <w:rPr>
                      <w:rFonts w:eastAsia="Times New Roman"/>
                      <w:color w:val="101517"/>
                      <w:sz w:val="24"/>
                      <w:szCs w:val="24"/>
                    </w:rPr>
                  </w:pPr>
                  <w:r>
                    <w:rPr>
                      <w:rFonts w:eastAsia="Times New Roman"/>
                      <w:color w:val="101517"/>
                      <w:sz w:val="24"/>
                      <w:szCs w:val="24"/>
                    </w:rPr>
                    <w:t xml:space="preserve">Cass described social transition as an active intervention which may have significant effects on the child’s psychological functioning. The psychological effects on the children being asked to socially transition a fellow pupil have not been calculated. This is </w:t>
                  </w:r>
                  <w:proofErr w:type="gramStart"/>
                  <w:r>
                    <w:rPr>
                      <w:rFonts w:eastAsia="Times New Roman"/>
                      <w:color w:val="101517"/>
                      <w:sz w:val="24"/>
                      <w:szCs w:val="24"/>
                    </w:rPr>
                    <w:t>a responsibility children</w:t>
                  </w:r>
                  <w:proofErr w:type="gramEnd"/>
                  <w:r>
                    <w:rPr>
                      <w:rFonts w:eastAsia="Times New Roman"/>
                      <w:color w:val="101517"/>
                      <w:sz w:val="24"/>
                      <w:szCs w:val="24"/>
                    </w:rPr>
                    <w:t xml:space="preserve"> are not developmentally equipped to carry and it is not appropriate to ask them to do so; it is irrelevant whether this is for ten other children in the school or just one.</w:t>
                  </w:r>
                </w:p>
                <w:p w14:paraId="79E3627C" w14:textId="77777777" w:rsidR="00D0372D" w:rsidRDefault="00D0372D" w:rsidP="005112E0">
                  <w:pPr>
                    <w:numPr>
                      <w:ilvl w:val="0"/>
                      <w:numId w:val="10"/>
                    </w:numPr>
                    <w:spacing w:before="360" w:after="100" w:afterAutospacing="1"/>
                    <w:ind w:left="1440"/>
                    <w:rPr>
                      <w:rFonts w:eastAsia="Times New Roman"/>
                      <w:color w:val="101517"/>
                      <w:sz w:val="24"/>
                      <w:szCs w:val="24"/>
                    </w:rPr>
                  </w:pPr>
                  <w:r>
                    <w:rPr>
                      <w:rFonts w:eastAsia="Times New Roman"/>
                      <w:color w:val="101517"/>
                      <w:sz w:val="24"/>
                      <w:szCs w:val="24"/>
                    </w:rPr>
                    <w:t>We do not know the harms that may be caused to individual children being asked by their school to deny biological reality and pretend it doesn’t exist.</w:t>
                  </w:r>
                </w:p>
                <w:p w14:paraId="234627FC" w14:textId="77777777" w:rsidR="00D0372D" w:rsidRDefault="00D0372D" w:rsidP="005112E0">
                  <w:pPr>
                    <w:numPr>
                      <w:ilvl w:val="0"/>
                      <w:numId w:val="10"/>
                    </w:numPr>
                    <w:spacing w:before="360" w:after="100" w:afterAutospacing="1"/>
                    <w:ind w:left="1440"/>
                    <w:rPr>
                      <w:rFonts w:eastAsia="Times New Roman"/>
                      <w:color w:val="101517"/>
                      <w:sz w:val="24"/>
                      <w:szCs w:val="24"/>
                    </w:rPr>
                  </w:pPr>
                  <w:r>
                    <w:rPr>
                      <w:rFonts w:eastAsia="Times New Roman"/>
                      <w:color w:val="101517"/>
                      <w:sz w:val="24"/>
                      <w:szCs w:val="24"/>
                    </w:rPr>
                    <w:lastRenderedPageBreak/>
                    <w:t xml:space="preserve">Schools cannot tell children that one boy is a </w:t>
                  </w:r>
                  <w:proofErr w:type="gramStart"/>
                  <w:r>
                    <w:rPr>
                      <w:rFonts w:eastAsia="Times New Roman"/>
                      <w:color w:val="101517"/>
                      <w:sz w:val="24"/>
                      <w:szCs w:val="24"/>
                    </w:rPr>
                    <w:t>girl</w:t>
                  </w:r>
                  <w:proofErr w:type="gramEnd"/>
                  <w:r>
                    <w:rPr>
                      <w:rFonts w:eastAsia="Times New Roman"/>
                      <w:color w:val="101517"/>
                      <w:sz w:val="24"/>
                      <w:szCs w:val="24"/>
                    </w:rPr>
                    <w:t xml:space="preserve"> but another boy isn’t. There are no grounds on which a school can justify affirming one adolescent girl as a boy while refusing to do the same for another, other than by revealing private medical details for the affirmed child.</w:t>
                  </w:r>
                </w:p>
                <w:p w14:paraId="5578A89E" w14:textId="77777777" w:rsidR="00D0372D" w:rsidRDefault="00D0372D" w:rsidP="005112E0">
                  <w:pPr>
                    <w:numPr>
                      <w:ilvl w:val="0"/>
                      <w:numId w:val="10"/>
                    </w:numPr>
                    <w:spacing w:before="360" w:after="100" w:afterAutospacing="1"/>
                    <w:ind w:left="1440"/>
                    <w:rPr>
                      <w:rFonts w:eastAsia="Times New Roman"/>
                      <w:color w:val="101517"/>
                      <w:sz w:val="24"/>
                      <w:szCs w:val="24"/>
                    </w:rPr>
                  </w:pPr>
                  <w:r>
                    <w:rPr>
                      <w:rFonts w:eastAsia="Times New Roman"/>
                      <w:color w:val="101517"/>
                      <w:sz w:val="24"/>
                      <w:szCs w:val="24"/>
                    </w:rPr>
                    <w:t>Schools cannot rely on a doctor’s report when there are plenty of ‘gender affirming’ clinicians and therapists who would advise social transition without question.</w:t>
                  </w:r>
                </w:p>
                <w:p w14:paraId="10E98679" w14:textId="77777777" w:rsidR="00D0372D" w:rsidRDefault="00D0372D" w:rsidP="005112E0">
                  <w:pPr>
                    <w:numPr>
                      <w:ilvl w:val="0"/>
                      <w:numId w:val="10"/>
                    </w:numPr>
                    <w:spacing w:before="360" w:after="100" w:afterAutospacing="1"/>
                    <w:ind w:left="1440"/>
                    <w:rPr>
                      <w:rFonts w:eastAsia="Times New Roman"/>
                      <w:color w:val="101517"/>
                      <w:sz w:val="24"/>
                      <w:szCs w:val="24"/>
                    </w:rPr>
                  </w:pPr>
                  <w:r>
                    <w:rPr>
                      <w:rFonts w:eastAsia="Times New Roman"/>
                      <w:color w:val="101517"/>
                      <w:sz w:val="24"/>
                      <w:szCs w:val="24"/>
                    </w:rPr>
                    <w:t xml:space="preserve">Compelling girls to agree that a boy is a girl puts girls at risk outside the school environment by training them to suppress their instincts, knowledge and understanding of the reality of who is male </w:t>
                  </w:r>
                  <w:proofErr w:type="gramStart"/>
                  <w:r>
                    <w:rPr>
                      <w:rFonts w:eastAsia="Times New Roman"/>
                      <w:color w:val="101517"/>
                      <w:sz w:val="24"/>
                      <w:szCs w:val="24"/>
                    </w:rPr>
                    <w:t>in order to</w:t>
                  </w:r>
                  <w:proofErr w:type="gramEnd"/>
                  <w:r>
                    <w:rPr>
                      <w:rFonts w:eastAsia="Times New Roman"/>
                      <w:color w:val="101517"/>
                      <w:sz w:val="24"/>
                      <w:szCs w:val="24"/>
                    </w:rPr>
                    <w:t xml:space="preserve"> ‘be kind.’</w:t>
                  </w:r>
                </w:p>
                <w:p w14:paraId="69D897F6" w14:textId="77777777" w:rsidR="00D0372D" w:rsidRDefault="00D0372D">
                  <w:pPr>
                    <w:pStyle w:val="Heading2"/>
                    <w:spacing w:before="720" w:beforeAutospacing="0" w:after="360" w:afterAutospacing="0"/>
                    <w:rPr>
                      <w:rFonts w:eastAsia="Times New Roman"/>
                      <w:color w:val="2D3338"/>
                      <w:sz w:val="42"/>
                      <w:szCs w:val="42"/>
                    </w:rPr>
                  </w:pPr>
                  <w:r>
                    <w:rPr>
                      <w:rFonts w:eastAsia="Times New Roman"/>
                      <w:color w:val="2D3338"/>
                      <w:sz w:val="42"/>
                      <w:szCs w:val="42"/>
                    </w:rPr>
                    <w:t xml:space="preserve"> The watchful waiting </w:t>
                  </w:r>
                  <w:proofErr w:type="gramStart"/>
                  <w:r>
                    <w:rPr>
                      <w:rFonts w:eastAsia="Times New Roman"/>
                      <w:color w:val="2D3338"/>
                      <w:sz w:val="42"/>
                      <w:szCs w:val="42"/>
                    </w:rPr>
                    <w:t>approach</w:t>
                  </w:r>
                  <w:proofErr w:type="gramEnd"/>
                </w:p>
                <w:p w14:paraId="354AA790" w14:textId="77777777" w:rsidR="00D0372D" w:rsidRDefault="00D0372D" w:rsidP="005112E0">
                  <w:pPr>
                    <w:numPr>
                      <w:ilvl w:val="0"/>
                      <w:numId w:val="11"/>
                    </w:numPr>
                    <w:spacing w:before="100" w:beforeAutospacing="1" w:after="100" w:afterAutospacing="1"/>
                    <w:ind w:left="1440"/>
                    <w:rPr>
                      <w:rFonts w:eastAsia="Times New Roman"/>
                      <w:color w:val="101517"/>
                      <w:sz w:val="24"/>
                      <w:szCs w:val="24"/>
                    </w:rPr>
                  </w:pPr>
                  <w:r>
                    <w:rPr>
                      <w:rFonts w:eastAsia="Times New Roman"/>
                      <w:color w:val="101517"/>
                      <w:sz w:val="24"/>
                      <w:szCs w:val="24"/>
                    </w:rPr>
                    <w:t>The previously established model of care for children with gender-related distress/cross-sex identity was ‘watchful waiting.’ Children were not socially transitioned but allowed to grow up and the majority naturally outgrew these childhood feelings.  </w:t>
                  </w:r>
                </w:p>
                <w:p w14:paraId="0C0B0812" w14:textId="77777777" w:rsidR="00D0372D" w:rsidRDefault="00D0372D" w:rsidP="005112E0">
                  <w:pPr>
                    <w:numPr>
                      <w:ilvl w:val="0"/>
                      <w:numId w:val="11"/>
                    </w:numPr>
                    <w:spacing w:before="360" w:after="100" w:afterAutospacing="1"/>
                    <w:ind w:left="1440"/>
                    <w:rPr>
                      <w:rFonts w:eastAsia="Times New Roman"/>
                      <w:color w:val="101517"/>
                      <w:sz w:val="24"/>
                      <w:szCs w:val="24"/>
                    </w:rPr>
                  </w:pPr>
                  <w:r>
                    <w:rPr>
                      <w:rFonts w:eastAsia="Times New Roman"/>
                      <w:color w:val="101517"/>
                      <w:sz w:val="24"/>
                      <w:szCs w:val="24"/>
                    </w:rPr>
                    <w:t>There has been no research that has demonstrated that the watchful waiting model caused harms to children, to justify its replacement with the gender affirmative approach.</w:t>
                  </w:r>
                </w:p>
                <w:p w14:paraId="1E415C54" w14:textId="77777777" w:rsidR="00D0372D" w:rsidRDefault="00D0372D" w:rsidP="005112E0">
                  <w:pPr>
                    <w:numPr>
                      <w:ilvl w:val="0"/>
                      <w:numId w:val="11"/>
                    </w:numPr>
                    <w:spacing w:before="360" w:after="100" w:afterAutospacing="1"/>
                    <w:ind w:left="1440"/>
                    <w:rPr>
                      <w:rFonts w:eastAsia="Times New Roman"/>
                      <w:color w:val="101517"/>
                      <w:sz w:val="24"/>
                      <w:szCs w:val="24"/>
                    </w:rPr>
                  </w:pPr>
                  <w:r>
                    <w:rPr>
                      <w:rFonts w:eastAsia="Times New Roman"/>
                      <w:color w:val="101517"/>
                      <w:sz w:val="24"/>
                      <w:szCs w:val="24"/>
                    </w:rPr>
                    <w:t>Watchful waiting is a politically neutral approach.</w:t>
                  </w:r>
                </w:p>
                <w:p w14:paraId="4C7FC86C" w14:textId="77777777" w:rsidR="00D0372D" w:rsidRDefault="00D0372D" w:rsidP="005112E0">
                  <w:pPr>
                    <w:numPr>
                      <w:ilvl w:val="0"/>
                      <w:numId w:val="11"/>
                    </w:numPr>
                    <w:spacing w:before="360" w:after="100" w:afterAutospacing="1"/>
                    <w:ind w:left="1440"/>
                    <w:rPr>
                      <w:rFonts w:eastAsia="Times New Roman"/>
                      <w:color w:val="101517"/>
                      <w:sz w:val="24"/>
                      <w:szCs w:val="24"/>
                    </w:rPr>
                  </w:pPr>
                  <w:r>
                    <w:rPr>
                      <w:rFonts w:eastAsia="Times New Roman"/>
                      <w:color w:val="101517"/>
                      <w:sz w:val="24"/>
                      <w:szCs w:val="24"/>
                    </w:rPr>
                    <w:t xml:space="preserve">This approach carries no risks. A school that fosters a tolerant approach to diversity should have a </w:t>
                  </w:r>
                  <w:proofErr w:type="gramStart"/>
                  <w:r>
                    <w:rPr>
                      <w:rFonts w:eastAsia="Times New Roman"/>
                      <w:color w:val="101517"/>
                      <w:sz w:val="24"/>
                      <w:szCs w:val="24"/>
                    </w:rPr>
                    <w:t>zero tolerance</w:t>
                  </w:r>
                  <w:proofErr w:type="gramEnd"/>
                  <w:r>
                    <w:rPr>
                      <w:rFonts w:eastAsia="Times New Roman"/>
                      <w:color w:val="101517"/>
                      <w:sz w:val="24"/>
                      <w:szCs w:val="24"/>
                    </w:rPr>
                    <w:t xml:space="preserve"> approach to bullying of any child for being different, including the boys with long hair who play with dolls and the girls with short hair who play football. Treating these children as the opposite sex is a reinforcement of stereotypes and an intolerance of difference.</w:t>
                  </w:r>
                </w:p>
                <w:p w14:paraId="5D38C321" w14:textId="77777777" w:rsidR="00D0372D" w:rsidRDefault="00D0372D" w:rsidP="005112E0">
                  <w:pPr>
                    <w:numPr>
                      <w:ilvl w:val="0"/>
                      <w:numId w:val="11"/>
                    </w:numPr>
                    <w:spacing w:before="360" w:after="100" w:afterAutospacing="1"/>
                    <w:ind w:left="1440"/>
                    <w:rPr>
                      <w:rFonts w:eastAsia="Times New Roman"/>
                      <w:color w:val="101517"/>
                      <w:sz w:val="24"/>
                      <w:szCs w:val="24"/>
                    </w:rPr>
                  </w:pPr>
                  <w:r>
                    <w:rPr>
                      <w:rFonts w:eastAsia="Times New Roman"/>
                      <w:color w:val="101517"/>
                      <w:sz w:val="24"/>
                      <w:szCs w:val="24"/>
                    </w:rPr>
                    <w:t>A watchful waiting approach enables a school to be tolerant and flexible on gender expression and gender roles and to be supportive without lying to children about their sex.</w:t>
                  </w:r>
                </w:p>
                <w:p w14:paraId="65A2B868" w14:textId="77777777" w:rsidR="00D0372D" w:rsidRDefault="00D0372D" w:rsidP="005112E0">
                  <w:pPr>
                    <w:numPr>
                      <w:ilvl w:val="0"/>
                      <w:numId w:val="11"/>
                    </w:numPr>
                    <w:spacing w:before="360" w:after="100" w:afterAutospacing="1"/>
                    <w:ind w:left="1440"/>
                    <w:rPr>
                      <w:rFonts w:eastAsia="Times New Roman"/>
                      <w:color w:val="101517"/>
                      <w:sz w:val="24"/>
                      <w:szCs w:val="24"/>
                    </w:rPr>
                  </w:pPr>
                  <w:r>
                    <w:rPr>
                      <w:rFonts w:eastAsia="Times New Roman"/>
                      <w:color w:val="101517"/>
                      <w:sz w:val="24"/>
                      <w:szCs w:val="24"/>
                    </w:rPr>
                    <w:t>Whatever the outcome in adulthood, all children deserve honesty from adults and no child benefits from disassociation from reality during childhood.</w:t>
                  </w:r>
                </w:p>
                <w:p w14:paraId="2E894B71" w14:textId="77777777" w:rsidR="00D0372D" w:rsidRDefault="00D0372D" w:rsidP="005112E0">
                  <w:pPr>
                    <w:numPr>
                      <w:ilvl w:val="0"/>
                      <w:numId w:val="11"/>
                    </w:numPr>
                    <w:spacing w:before="360" w:after="100" w:afterAutospacing="1"/>
                    <w:ind w:left="1440"/>
                    <w:rPr>
                      <w:rFonts w:eastAsia="Times New Roman"/>
                      <w:color w:val="101517"/>
                      <w:sz w:val="24"/>
                      <w:szCs w:val="24"/>
                    </w:rPr>
                  </w:pPr>
                  <w:r>
                    <w:rPr>
                      <w:rFonts w:eastAsia="Times New Roman"/>
                      <w:color w:val="101517"/>
                      <w:sz w:val="24"/>
                      <w:szCs w:val="24"/>
                    </w:rPr>
                    <w:lastRenderedPageBreak/>
                    <w:t>A watchful waiting approach does not risk creating unrealistic expectations of the wider society where not everybody will share the child’s beliefs that they are the opposite sex.</w:t>
                  </w:r>
                </w:p>
                <w:p w14:paraId="642009D6" w14:textId="77777777" w:rsidR="00D0372D" w:rsidRDefault="00D0372D">
                  <w:pPr>
                    <w:pStyle w:val="NormalWeb"/>
                    <w:spacing w:before="0" w:beforeAutospacing="0" w:after="360" w:afterAutospacing="0"/>
                    <w:rPr>
                      <w:color w:val="101517"/>
                      <w:sz w:val="24"/>
                      <w:szCs w:val="24"/>
                    </w:rPr>
                  </w:pPr>
                  <w:r>
                    <w:rPr>
                      <w:color w:val="101517"/>
                      <w:sz w:val="24"/>
                      <w:szCs w:val="24"/>
                    </w:rPr>
                    <w:t xml:space="preserve">If this issue is left up to the judgment of individual schools, school policies will continue to be dictated by the activist member of staff or the crusading parent, or by political lobby groups, as detailed in the Policy Exchange report </w:t>
                  </w:r>
                  <w:hyperlink r:id="rId19" w:history="1">
                    <w:r>
                      <w:rPr>
                        <w:rStyle w:val="Hyperlink"/>
                        <w:color w:val="007117"/>
                        <w:sz w:val="24"/>
                        <w:szCs w:val="24"/>
                      </w:rPr>
                      <w:t>Asleep at the Wheel</w:t>
                    </w:r>
                  </w:hyperlink>
                  <w:r>
                    <w:rPr>
                      <w:color w:val="101517"/>
                      <w:sz w:val="24"/>
                      <w:szCs w:val="24"/>
                    </w:rPr>
                    <w:t>. There should be no loopholes in the Department for Education guidance that permit political activist policies in schools.</w:t>
                  </w:r>
                </w:p>
                <w:p w14:paraId="3C264423" w14:textId="77777777" w:rsidR="00D0372D" w:rsidRDefault="00D0372D">
                  <w:pPr>
                    <w:pStyle w:val="NormalWeb"/>
                    <w:spacing w:before="0" w:beforeAutospacing="0" w:after="360" w:afterAutospacing="0"/>
                    <w:rPr>
                      <w:color w:val="101517"/>
                      <w:sz w:val="24"/>
                      <w:szCs w:val="24"/>
                    </w:rPr>
                  </w:pPr>
                  <w:r>
                    <w:rPr>
                      <w:color w:val="101517"/>
                      <w:sz w:val="24"/>
                      <w:szCs w:val="24"/>
                    </w:rPr>
                    <w:t xml:space="preserve">Download our briefing </w:t>
                  </w:r>
                  <w:hyperlink r:id="rId20" w:tgtFrame="_blank" w:history="1">
                    <w:r>
                      <w:rPr>
                        <w:rStyle w:val="Hyperlink"/>
                        <w:color w:val="007117"/>
                        <w:sz w:val="24"/>
                        <w:szCs w:val="24"/>
                      </w:rPr>
                      <w:t>Gender Affirmation v Watchful Waiting in Schools</w:t>
                    </w:r>
                  </w:hyperlink>
                  <w:r>
                    <w:rPr>
                      <w:color w:val="101517"/>
                      <w:sz w:val="24"/>
                      <w:szCs w:val="24"/>
                    </w:rPr>
                    <w:t>.</w:t>
                  </w:r>
                </w:p>
                <w:p w14:paraId="2310D40C" w14:textId="77777777" w:rsidR="00D0372D" w:rsidRDefault="00D0372D" w:rsidP="00D0372D">
                  <w:pPr>
                    <w:jc w:val="center"/>
                    <w:rPr>
                      <w:rFonts w:eastAsia="Times New Roman"/>
                      <w:sz w:val="24"/>
                      <w:szCs w:val="24"/>
                    </w:rPr>
                  </w:pPr>
                  <w:r>
                    <w:rPr>
                      <w:rFonts w:eastAsia="Times New Roman"/>
                      <w:sz w:val="24"/>
                      <w:szCs w:val="24"/>
                    </w:rPr>
                    <w:pict w14:anchorId="0ADC4C26">
                      <v:rect id="_x0000_i1028" style="width:75pt;height:1.2pt" o:hrpct="0" o:hralign="center" o:hrstd="t" o:hr="t" fillcolor="#a0a0a0" stroked="f"/>
                    </w:pict>
                  </w:r>
                </w:p>
                <w:p w14:paraId="57A3A853" w14:textId="77777777" w:rsidR="00D0372D" w:rsidRDefault="00D0372D">
                  <w:pPr>
                    <w:pStyle w:val="NormalWeb"/>
                    <w:spacing w:before="0" w:beforeAutospacing="0" w:after="360" w:afterAutospacing="0"/>
                    <w:rPr>
                      <w:color w:val="101517"/>
                      <w:sz w:val="24"/>
                      <w:szCs w:val="24"/>
                    </w:rPr>
                  </w:pPr>
                  <w:hyperlink r:id="rId21" w:anchor="_ftnref1" w:history="1">
                    <w:r>
                      <w:rPr>
                        <w:rStyle w:val="Hyperlink"/>
                        <w:color w:val="007117"/>
                        <w:sz w:val="24"/>
                        <w:szCs w:val="24"/>
                      </w:rPr>
                      <w:t>[1]</w:t>
                    </w:r>
                  </w:hyperlink>
                  <w:r>
                    <w:rPr>
                      <w:color w:val="101517"/>
                      <w:sz w:val="24"/>
                      <w:szCs w:val="24"/>
                    </w:rPr>
                    <w:t xml:space="preserve"> </w:t>
                  </w:r>
                  <w:hyperlink r:id="rId22" w:tgtFrame="_blank" w:history="1">
                    <w:r>
                      <w:rPr>
                        <w:rStyle w:val="Hyperlink"/>
                        <w:color w:val="007117"/>
                        <w:sz w:val="24"/>
                        <w:szCs w:val="24"/>
                      </w:rPr>
                      <w:t>https://cass.independent-review.uk/publications/interim-report/</w:t>
                    </w:r>
                  </w:hyperlink>
                </w:p>
                <w:p w14:paraId="3C7D5B6F" w14:textId="77777777" w:rsidR="00D0372D" w:rsidRDefault="00D0372D">
                  <w:pPr>
                    <w:pStyle w:val="NormalWeb"/>
                    <w:spacing w:before="0" w:beforeAutospacing="0" w:after="360" w:afterAutospacing="0"/>
                    <w:rPr>
                      <w:color w:val="101517"/>
                      <w:sz w:val="24"/>
                      <w:szCs w:val="24"/>
                    </w:rPr>
                  </w:pPr>
                  <w:hyperlink r:id="rId23" w:anchor="_ftnref2" w:history="1">
                    <w:r>
                      <w:rPr>
                        <w:rStyle w:val="Hyperlink"/>
                        <w:color w:val="007117"/>
                        <w:sz w:val="24"/>
                        <w:szCs w:val="24"/>
                      </w:rPr>
                      <w:t>[2]</w:t>
                    </w:r>
                  </w:hyperlink>
                  <w:hyperlink r:id="rId24" w:tgtFrame="_blank" w:history="1">
                    <w:r>
                      <w:rPr>
                        <w:rStyle w:val="Hyperlink"/>
                        <w:color w:val="007117"/>
                        <w:sz w:val="24"/>
                        <w:szCs w:val="24"/>
                      </w:rPr>
                      <w:t xml:space="preserve"> https://link.springer.com/article/10.1007/s10508-023-02588-5</w:t>
                    </w:r>
                  </w:hyperlink>
                </w:p>
                <w:p w14:paraId="30297EA7" w14:textId="77777777" w:rsidR="00D0372D" w:rsidRDefault="00D0372D">
                  <w:pPr>
                    <w:pStyle w:val="NormalWeb"/>
                    <w:spacing w:before="0" w:beforeAutospacing="0" w:after="360" w:afterAutospacing="0"/>
                    <w:rPr>
                      <w:color w:val="101517"/>
                      <w:sz w:val="24"/>
                      <w:szCs w:val="24"/>
                    </w:rPr>
                  </w:pPr>
                  <w:hyperlink r:id="rId25" w:anchor="_ftnref3" w:history="1">
                    <w:r>
                      <w:rPr>
                        <w:rStyle w:val="Hyperlink"/>
                        <w:color w:val="007117"/>
                        <w:sz w:val="24"/>
                        <w:szCs w:val="24"/>
                      </w:rPr>
                      <w:t>[3]</w:t>
                    </w:r>
                  </w:hyperlink>
                  <w:hyperlink r:id="rId26" w:tgtFrame="_blank" w:history="1">
                    <w:r>
                      <w:rPr>
                        <w:rStyle w:val="Hyperlink"/>
                        <w:color w:val="007117"/>
                        <w:sz w:val="24"/>
                        <w:szCs w:val="24"/>
                      </w:rPr>
                      <w:t xml:space="preserve"> https://jamanetwork.com/journals/jamanetworkopen/article-abstract/2800899ghjkl</w:t>
                    </w:r>
                  </w:hyperlink>
                  <w:r>
                    <w:rPr>
                      <w:color w:val="101517"/>
                      <w:sz w:val="24"/>
                      <w:szCs w:val="24"/>
                    </w:rPr>
                    <w:t> </w:t>
                  </w:r>
                </w:p>
              </w:tc>
            </w:tr>
          </w:tbl>
          <w:p w14:paraId="0897BF1D" w14:textId="77777777" w:rsidR="00D0372D" w:rsidRDefault="00D0372D">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964"/>
              <w:gridCol w:w="8062"/>
            </w:tblGrid>
            <w:tr w:rsidR="00D0372D" w14:paraId="0980A8BA" w14:textId="77777777">
              <w:tc>
                <w:tcPr>
                  <w:tcW w:w="50" w:type="pct"/>
                  <w:vAlign w:val="center"/>
                  <w:hideMark/>
                </w:tcPr>
                <w:tbl>
                  <w:tblPr>
                    <w:tblW w:w="0" w:type="dxa"/>
                    <w:tblCellMar>
                      <w:left w:w="0" w:type="dxa"/>
                      <w:right w:w="0" w:type="dxa"/>
                    </w:tblCellMar>
                    <w:tblLook w:val="04A0" w:firstRow="1" w:lastRow="0" w:firstColumn="1" w:lastColumn="0" w:noHBand="0" w:noVBand="1"/>
                  </w:tblPr>
                  <w:tblGrid>
                    <w:gridCol w:w="964"/>
                  </w:tblGrid>
                  <w:tr w:rsidR="00D0372D" w14:paraId="1B3C658E" w14:textId="77777777">
                    <w:tc>
                      <w:tcPr>
                        <w:tcW w:w="0" w:type="auto"/>
                        <w:vAlign w:val="center"/>
                        <w:hideMark/>
                      </w:tcPr>
                      <w:tbl>
                        <w:tblPr>
                          <w:tblW w:w="0" w:type="dxa"/>
                          <w:tblCellMar>
                            <w:left w:w="0" w:type="dxa"/>
                            <w:right w:w="0" w:type="dxa"/>
                          </w:tblCellMar>
                          <w:tblLook w:val="04A0" w:firstRow="1" w:lastRow="0" w:firstColumn="1" w:lastColumn="0" w:noHBand="0" w:noVBand="1"/>
                        </w:tblPr>
                        <w:tblGrid>
                          <w:gridCol w:w="964"/>
                        </w:tblGrid>
                        <w:tr w:rsidR="00D0372D" w14:paraId="4090535D" w14:textId="77777777">
                          <w:tc>
                            <w:tcPr>
                              <w:tcW w:w="0" w:type="auto"/>
                              <w:shd w:val="clear" w:color="auto" w:fill="FFFFFF"/>
                              <w:vAlign w:val="center"/>
                              <w:hideMark/>
                            </w:tcPr>
                            <w:p w14:paraId="408B718F" w14:textId="77777777" w:rsidR="00D0372D" w:rsidRDefault="00D0372D">
                              <w:pPr>
                                <w:jc w:val="center"/>
                                <w:rPr>
                                  <w:rFonts w:eastAsia="Times New Roman"/>
                                  <w:sz w:val="24"/>
                                  <w:szCs w:val="24"/>
                                </w:rPr>
                              </w:pPr>
                              <w:hyperlink r:id="rId27" w:tgtFrame="_blank" w:history="1">
                                <w:r>
                                  <w:rPr>
                                    <w:rStyle w:val="Hyperlink"/>
                                    <w:rFonts w:eastAsia="Times New Roman"/>
                                    <w:color w:val="FFFFFF"/>
                                    <w:sz w:val="24"/>
                                    <w:szCs w:val="24"/>
                                    <w:bdr w:val="none" w:sz="0" w:space="0" w:color="auto" w:frame="1"/>
                                    <w:shd w:val="clear" w:color="auto" w:fill="007117"/>
                                  </w:rPr>
                                  <w:t xml:space="preserve">Comment </w:t>
                                </w:r>
                              </w:hyperlink>
                            </w:p>
                          </w:tc>
                        </w:tr>
                      </w:tbl>
                      <w:p w14:paraId="7BDAFD82" w14:textId="77777777" w:rsidR="00D0372D" w:rsidRDefault="00D0372D">
                        <w:pPr>
                          <w:rPr>
                            <w:rFonts w:ascii="Times New Roman" w:eastAsia="Times New Roman" w:hAnsi="Times New Roman" w:cs="Times New Roman"/>
                            <w:sz w:val="20"/>
                            <w:szCs w:val="20"/>
                          </w:rPr>
                        </w:pPr>
                      </w:p>
                    </w:tc>
                  </w:tr>
                </w:tbl>
                <w:p w14:paraId="7710BFD7" w14:textId="77777777" w:rsidR="00D0372D" w:rsidRDefault="00D0372D">
                  <w:pPr>
                    <w:rPr>
                      <w:rFonts w:ascii="Times New Roman" w:eastAsia="Times New Roman" w:hAnsi="Times New Roman" w:cs="Times New Roman"/>
                      <w:sz w:val="20"/>
                      <w:szCs w:val="20"/>
                    </w:rPr>
                  </w:pPr>
                </w:p>
              </w:tc>
              <w:tc>
                <w:tcPr>
                  <w:tcW w:w="0" w:type="auto"/>
                  <w:vAlign w:val="center"/>
                  <w:hideMark/>
                </w:tcPr>
                <w:p w14:paraId="589C9157" w14:textId="77777777" w:rsidR="00D0372D" w:rsidRDefault="00D0372D">
                  <w:pPr>
                    <w:rPr>
                      <w:rFonts w:ascii="Times New Roman" w:eastAsia="Times New Roman" w:hAnsi="Times New Roman" w:cs="Times New Roman"/>
                      <w:sz w:val="20"/>
                      <w:szCs w:val="20"/>
                    </w:rPr>
                  </w:pPr>
                </w:p>
              </w:tc>
            </w:tr>
          </w:tbl>
          <w:p w14:paraId="27D58D30" w14:textId="77777777" w:rsidR="00D0372D" w:rsidRDefault="00D0372D">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9026"/>
            </w:tblGrid>
            <w:tr w:rsidR="00D0372D" w14:paraId="09149F87" w14:textId="77777777">
              <w:trPr>
                <w:hidden/>
              </w:trPr>
              <w:tc>
                <w:tcPr>
                  <w:tcW w:w="0" w:type="auto"/>
                  <w:vAlign w:val="center"/>
                  <w:hideMark/>
                </w:tcPr>
                <w:p w14:paraId="469624F5" w14:textId="77777777" w:rsidR="00D0372D" w:rsidRDefault="00D0372D">
                  <w:pPr>
                    <w:rPr>
                      <w:rFonts w:eastAsia="Times New Roman"/>
                      <w:vanish/>
                      <w:sz w:val="24"/>
                      <w:szCs w:val="24"/>
                    </w:rPr>
                  </w:pPr>
                </w:p>
              </w:tc>
            </w:tr>
            <w:tr w:rsidR="00D0372D" w14:paraId="48EBCF96" w14:textId="77777777">
              <w:tc>
                <w:tcPr>
                  <w:tcW w:w="0" w:type="auto"/>
                  <w:vAlign w:val="center"/>
                  <w:hideMark/>
                </w:tcPr>
                <w:p w14:paraId="7738AD52" w14:textId="77777777" w:rsidR="00D0372D" w:rsidRDefault="00D0372D" w:rsidP="00D0372D">
                  <w:pPr>
                    <w:jc w:val="center"/>
                    <w:rPr>
                      <w:rFonts w:eastAsia="Times New Roman"/>
                      <w:sz w:val="24"/>
                      <w:szCs w:val="24"/>
                    </w:rPr>
                  </w:pPr>
                  <w:r>
                    <w:rPr>
                      <w:rFonts w:eastAsia="Times New Roman"/>
                      <w:sz w:val="24"/>
                      <w:szCs w:val="24"/>
                    </w:rPr>
                    <w:pict w14:anchorId="406213F0">
                      <v:rect id="_x0000_i1029" style="width:48pt;height:.6pt" o:hrpct="0" o:hralign="center" o:hrstd="t" o:hrnoshade="t" o:hr="t" fillcolor="#dcdcde" stroked="f"/>
                    </w:pict>
                  </w:r>
                </w:p>
                <w:p w14:paraId="545E143B" w14:textId="77777777" w:rsidR="00D0372D" w:rsidRDefault="00D0372D">
                  <w:pPr>
                    <w:pStyle w:val="NormalWeb"/>
                    <w:spacing w:before="0" w:beforeAutospacing="0" w:after="0" w:afterAutospacing="0" w:line="360" w:lineRule="auto"/>
                    <w:rPr>
                      <w:color w:val="2C3338"/>
                      <w:sz w:val="21"/>
                      <w:szCs w:val="21"/>
                    </w:rPr>
                  </w:pPr>
                  <w:hyperlink r:id="rId28" w:history="1">
                    <w:r>
                      <w:rPr>
                        <w:rStyle w:val="Hyperlink"/>
                        <w:color w:val="007117"/>
                        <w:sz w:val="21"/>
                        <w:szCs w:val="21"/>
                      </w:rPr>
                      <w:t>Unsubscribe</w:t>
                    </w:r>
                  </w:hyperlink>
                  <w:r>
                    <w:rPr>
                      <w:color w:val="2C3338"/>
                      <w:sz w:val="21"/>
                      <w:szCs w:val="21"/>
                    </w:rPr>
                    <w:t xml:space="preserve"> to no longer receive posts from Transgender Trend. </w:t>
                  </w:r>
                  <w:r>
                    <w:rPr>
                      <w:color w:val="2C3338"/>
                      <w:sz w:val="21"/>
                      <w:szCs w:val="21"/>
                    </w:rPr>
                    <w:br/>
                    <w:t xml:space="preserve">Change your email settings at </w:t>
                  </w:r>
                  <w:hyperlink r:id="rId29" w:history="1">
                    <w:r>
                      <w:rPr>
                        <w:rStyle w:val="Hyperlink"/>
                        <w:color w:val="007117"/>
                        <w:sz w:val="21"/>
                        <w:szCs w:val="21"/>
                      </w:rPr>
                      <w:t>manage subscriptions.</w:t>
                    </w:r>
                  </w:hyperlink>
                  <w:r>
                    <w:rPr>
                      <w:color w:val="2C3338"/>
                      <w:sz w:val="21"/>
                      <w:szCs w:val="21"/>
                    </w:rPr>
                    <w:t xml:space="preserve"> </w:t>
                  </w:r>
                </w:p>
                <w:p w14:paraId="383AF593" w14:textId="77777777" w:rsidR="00D0372D" w:rsidRDefault="00D0372D">
                  <w:pPr>
                    <w:pStyle w:val="NormalWeb"/>
                    <w:spacing w:before="0" w:beforeAutospacing="0" w:after="0" w:afterAutospacing="0" w:line="360" w:lineRule="auto"/>
                    <w:rPr>
                      <w:color w:val="2C3338"/>
                      <w:sz w:val="21"/>
                      <w:szCs w:val="21"/>
                    </w:rPr>
                  </w:pPr>
                  <w:r>
                    <w:rPr>
                      <w:rStyle w:val="xtitle"/>
                      <w:b/>
                      <w:bCs/>
                      <w:color w:val="2C3338"/>
                      <w:sz w:val="21"/>
                      <w:szCs w:val="21"/>
                    </w:rPr>
                    <w:t>Trouble clicking?</w:t>
                  </w:r>
                  <w:r>
                    <w:rPr>
                      <w:color w:val="2C3338"/>
                      <w:sz w:val="21"/>
                      <w:szCs w:val="21"/>
                    </w:rPr>
                    <w:t xml:space="preserve"> Copy and paste this URL into your browser: </w:t>
                  </w:r>
                  <w:r>
                    <w:rPr>
                      <w:color w:val="2C3338"/>
                      <w:sz w:val="21"/>
                      <w:szCs w:val="21"/>
                    </w:rPr>
                    <w:br/>
                  </w:r>
                  <w:hyperlink r:id="rId30" w:history="1">
                    <w:r>
                      <w:rPr>
                        <w:rStyle w:val="Hyperlink"/>
                        <w:sz w:val="21"/>
                        <w:szCs w:val="21"/>
                      </w:rPr>
                      <w:t>https://www.transgendertrend.com/gender-affirmative-model-social-transition-schools/</w:t>
                    </w:r>
                  </w:hyperlink>
                  <w:r>
                    <w:rPr>
                      <w:color w:val="2C3338"/>
                      <w:sz w:val="21"/>
                      <w:szCs w:val="21"/>
                    </w:rPr>
                    <w:t xml:space="preserve"> </w:t>
                  </w:r>
                </w:p>
              </w:tc>
            </w:tr>
          </w:tbl>
          <w:p w14:paraId="19877666" w14:textId="77777777" w:rsidR="00D0372D" w:rsidRDefault="00D0372D">
            <w:pPr>
              <w:rPr>
                <w:rFonts w:ascii="Times New Roman" w:eastAsia="Times New Roman" w:hAnsi="Times New Roman" w:cs="Times New Roman"/>
                <w:sz w:val="20"/>
                <w:szCs w:val="20"/>
              </w:rPr>
            </w:pPr>
          </w:p>
        </w:tc>
      </w:tr>
    </w:tbl>
    <w:p w14:paraId="32282DE1" w14:textId="77777777" w:rsidR="00D0372D" w:rsidRDefault="00D0372D"/>
    <w:sectPr w:rsidR="00D03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F70"/>
    <w:multiLevelType w:val="multilevel"/>
    <w:tmpl w:val="46DE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E0266"/>
    <w:multiLevelType w:val="multilevel"/>
    <w:tmpl w:val="7CAEA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D2404"/>
    <w:multiLevelType w:val="multilevel"/>
    <w:tmpl w:val="B7DAD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612E7"/>
    <w:multiLevelType w:val="multilevel"/>
    <w:tmpl w:val="B754B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21D49"/>
    <w:multiLevelType w:val="multilevel"/>
    <w:tmpl w:val="72BAC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25A00"/>
    <w:multiLevelType w:val="multilevel"/>
    <w:tmpl w:val="071C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64F89"/>
    <w:multiLevelType w:val="multilevel"/>
    <w:tmpl w:val="F056B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45F42"/>
    <w:multiLevelType w:val="multilevel"/>
    <w:tmpl w:val="851C2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D593D"/>
    <w:multiLevelType w:val="multilevel"/>
    <w:tmpl w:val="6B3A1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D16DC"/>
    <w:multiLevelType w:val="multilevel"/>
    <w:tmpl w:val="5DBE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32387"/>
    <w:multiLevelType w:val="multilevel"/>
    <w:tmpl w:val="7A8A6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3460835">
    <w:abstractNumId w:val="4"/>
    <w:lvlOverride w:ilvl="0"/>
    <w:lvlOverride w:ilvl="1"/>
    <w:lvlOverride w:ilvl="2"/>
    <w:lvlOverride w:ilvl="3"/>
    <w:lvlOverride w:ilvl="4"/>
    <w:lvlOverride w:ilvl="5"/>
    <w:lvlOverride w:ilvl="6"/>
    <w:lvlOverride w:ilvl="7"/>
    <w:lvlOverride w:ilvl="8"/>
  </w:num>
  <w:num w:numId="2" w16cid:durableId="1064135609">
    <w:abstractNumId w:val="6"/>
    <w:lvlOverride w:ilvl="0"/>
    <w:lvlOverride w:ilvl="1"/>
    <w:lvlOverride w:ilvl="2"/>
    <w:lvlOverride w:ilvl="3"/>
    <w:lvlOverride w:ilvl="4"/>
    <w:lvlOverride w:ilvl="5"/>
    <w:lvlOverride w:ilvl="6"/>
    <w:lvlOverride w:ilvl="7"/>
    <w:lvlOverride w:ilvl="8"/>
  </w:num>
  <w:num w:numId="3" w16cid:durableId="1017151011">
    <w:abstractNumId w:val="5"/>
    <w:lvlOverride w:ilvl="0"/>
    <w:lvlOverride w:ilvl="1"/>
    <w:lvlOverride w:ilvl="2"/>
    <w:lvlOverride w:ilvl="3"/>
    <w:lvlOverride w:ilvl="4"/>
    <w:lvlOverride w:ilvl="5"/>
    <w:lvlOverride w:ilvl="6"/>
    <w:lvlOverride w:ilvl="7"/>
    <w:lvlOverride w:ilvl="8"/>
  </w:num>
  <w:num w:numId="4" w16cid:durableId="1738432853">
    <w:abstractNumId w:val="1"/>
    <w:lvlOverride w:ilvl="0"/>
    <w:lvlOverride w:ilvl="1"/>
    <w:lvlOverride w:ilvl="2"/>
    <w:lvlOverride w:ilvl="3"/>
    <w:lvlOverride w:ilvl="4"/>
    <w:lvlOverride w:ilvl="5"/>
    <w:lvlOverride w:ilvl="6"/>
    <w:lvlOverride w:ilvl="7"/>
    <w:lvlOverride w:ilvl="8"/>
  </w:num>
  <w:num w:numId="5" w16cid:durableId="1868715188">
    <w:abstractNumId w:val="8"/>
    <w:lvlOverride w:ilvl="0"/>
    <w:lvlOverride w:ilvl="1"/>
    <w:lvlOverride w:ilvl="2"/>
    <w:lvlOverride w:ilvl="3"/>
    <w:lvlOverride w:ilvl="4"/>
    <w:lvlOverride w:ilvl="5"/>
    <w:lvlOverride w:ilvl="6"/>
    <w:lvlOverride w:ilvl="7"/>
    <w:lvlOverride w:ilvl="8"/>
  </w:num>
  <w:num w:numId="6" w16cid:durableId="469324529">
    <w:abstractNumId w:val="9"/>
    <w:lvlOverride w:ilvl="0"/>
    <w:lvlOverride w:ilvl="1"/>
    <w:lvlOverride w:ilvl="2"/>
    <w:lvlOverride w:ilvl="3"/>
    <w:lvlOverride w:ilvl="4"/>
    <w:lvlOverride w:ilvl="5"/>
    <w:lvlOverride w:ilvl="6"/>
    <w:lvlOverride w:ilvl="7"/>
    <w:lvlOverride w:ilvl="8"/>
  </w:num>
  <w:num w:numId="7" w16cid:durableId="578758031">
    <w:abstractNumId w:val="2"/>
    <w:lvlOverride w:ilvl="0"/>
    <w:lvlOverride w:ilvl="1"/>
    <w:lvlOverride w:ilvl="2"/>
    <w:lvlOverride w:ilvl="3"/>
    <w:lvlOverride w:ilvl="4"/>
    <w:lvlOverride w:ilvl="5"/>
    <w:lvlOverride w:ilvl="6"/>
    <w:lvlOverride w:ilvl="7"/>
    <w:lvlOverride w:ilvl="8"/>
  </w:num>
  <w:num w:numId="8" w16cid:durableId="1109661843">
    <w:abstractNumId w:val="7"/>
    <w:lvlOverride w:ilvl="0"/>
    <w:lvlOverride w:ilvl="1"/>
    <w:lvlOverride w:ilvl="2"/>
    <w:lvlOverride w:ilvl="3"/>
    <w:lvlOverride w:ilvl="4"/>
    <w:lvlOverride w:ilvl="5"/>
    <w:lvlOverride w:ilvl="6"/>
    <w:lvlOverride w:ilvl="7"/>
    <w:lvlOverride w:ilvl="8"/>
  </w:num>
  <w:num w:numId="9" w16cid:durableId="369690130">
    <w:abstractNumId w:val="3"/>
    <w:lvlOverride w:ilvl="0"/>
    <w:lvlOverride w:ilvl="1"/>
    <w:lvlOverride w:ilvl="2"/>
    <w:lvlOverride w:ilvl="3"/>
    <w:lvlOverride w:ilvl="4"/>
    <w:lvlOverride w:ilvl="5"/>
    <w:lvlOverride w:ilvl="6"/>
    <w:lvlOverride w:ilvl="7"/>
    <w:lvlOverride w:ilvl="8"/>
  </w:num>
  <w:num w:numId="10" w16cid:durableId="1996643944">
    <w:abstractNumId w:val="0"/>
    <w:lvlOverride w:ilvl="0"/>
    <w:lvlOverride w:ilvl="1"/>
    <w:lvlOverride w:ilvl="2"/>
    <w:lvlOverride w:ilvl="3"/>
    <w:lvlOverride w:ilvl="4"/>
    <w:lvlOverride w:ilvl="5"/>
    <w:lvlOverride w:ilvl="6"/>
    <w:lvlOverride w:ilvl="7"/>
    <w:lvlOverride w:ilvl="8"/>
  </w:num>
  <w:num w:numId="11" w16cid:durableId="9100387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2D"/>
    <w:rsid w:val="00D0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A30F"/>
  <w15:chartTrackingRefBased/>
  <w15:docId w15:val="{6DFA052F-C674-42FE-8CDA-88DC775B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2D"/>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D037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0372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72D"/>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D0372D"/>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D0372D"/>
    <w:rPr>
      <w:color w:val="0000FF"/>
      <w:u w:val="single"/>
    </w:rPr>
  </w:style>
  <w:style w:type="paragraph" w:styleId="NormalWeb">
    <w:name w:val="Normal (Web)"/>
    <w:basedOn w:val="Normal"/>
    <w:uiPriority w:val="99"/>
    <w:semiHidden/>
    <w:unhideWhenUsed/>
    <w:rsid w:val="00D0372D"/>
    <w:pPr>
      <w:spacing w:before="100" w:beforeAutospacing="1" w:after="100" w:afterAutospacing="1"/>
    </w:pPr>
  </w:style>
  <w:style w:type="paragraph" w:customStyle="1" w:styleId="xname">
    <w:name w:val="x_name"/>
    <w:basedOn w:val="Normal"/>
    <w:uiPriority w:val="99"/>
    <w:semiHidden/>
    <w:rsid w:val="00D0372D"/>
    <w:pPr>
      <w:spacing w:before="100" w:beforeAutospacing="1" w:after="100" w:afterAutospacing="1"/>
    </w:pPr>
  </w:style>
  <w:style w:type="paragraph" w:customStyle="1" w:styleId="xmeta">
    <w:name w:val="x_meta"/>
    <w:basedOn w:val="Normal"/>
    <w:uiPriority w:val="99"/>
    <w:semiHidden/>
    <w:rsid w:val="00D0372D"/>
    <w:pPr>
      <w:spacing w:before="100" w:beforeAutospacing="1" w:after="100" w:afterAutospacing="1"/>
    </w:pPr>
  </w:style>
  <w:style w:type="character" w:customStyle="1" w:styleId="xheader-title">
    <w:name w:val="x_header-title"/>
    <w:basedOn w:val="DefaultParagraphFont"/>
    <w:rsid w:val="00D0372D"/>
  </w:style>
  <w:style w:type="character" w:customStyle="1" w:styleId="xtitle">
    <w:name w:val="x_title"/>
    <w:basedOn w:val="DefaultParagraphFont"/>
    <w:rsid w:val="00D0372D"/>
  </w:style>
  <w:style w:type="character" w:styleId="HTMLCite">
    <w:name w:val="HTML Cite"/>
    <w:basedOn w:val="DefaultParagraphFont"/>
    <w:uiPriority w:val="99"/>
    <w:semiHidden/>
    <w:unhideWhenUsed/>
    <w:rsid w:val="00D037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0487">
      <w:bodyDiv w:val="1"/>
      <w:marLeft w:val="0"/>
      <w:marRight w:val="0"/>
      <w:marTop w:val="0"/>
      <w:marBottom w:val="0"/>
      <w:divBdr>
        <w:top w:val="none" w:sz="0" w:space="0" w:color="auto"/>
        <w:left w:val="none" w:sz="0" w:space="0" w:color="auto"/>
        <w:bottom w:val="none" w:sz="0" w:space="0" w:color="auto"/>
        <w:right w:val="none" w:sz="0" w:space="0" w:color="auto"/>
      </w:divBdr>
      <w:divsChild>
        <w:div w:id="1003321243">
          <w:marLeft w:val="0"/>
          <w:marRight w:val="0"/>
          <w:marTop w:val="225"/>
          <w:marBottom w:val="225"/>
          <w:divBdr>
            <w:top w:val="none" w:sz="0" w:space="0" w:color="auto"/>
            <w:left w:val="none" w:sz="0" w:space="0" w:color="auto"/>
            <w:bottom w:val="none" w:sz="0" w:space="0" w:color="auto"/>
            <w:right w:val="none" w:sz="0" w:space="0" w:color="auto"/>
          </w:divBdr>
        </w:div>
        <w:div w:id="65540187">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ransgendertrend.com/gender-affirmative-model-social-transition-schools/" TargetMode="External"/><Relationship Id="rId18" Type="http://schemas.openxmlformats.org/officeDocument/2006/relationships/hyperlink" Target="https://www.gov.uk/guidance/mental-health-and-wellbeing-support-in-schools-and-colleges" TargetMode="External"/><Relationship Id="rId26" Type="http://schemas.openxmlformats.org/officeDocument/2006/relationships/hyperlink" Target="https://jamanetwork.com/journals/jamanetworkopen/article-abstract/2800899ghjkl" TargetMode="External"/><Relationship Id="rId3" Type="http://schemas.openxmlformats.org/officeDocument/2006/relationships/settings" Target="settings.xml"/><Relationship Id="rId21" Type="http://schemas.openxmlformats.org/officeDocument/2006/relationships/hyperlink" Target="https://www.transgendertrend.com/gender-affirmative-model-social-transition-schools/" TargetMode="External"/><Relationship Id="rId7" Type="http://schemas.openxmlformats.org/officeDocument/2006/relationships/hyperlink" Target="https://public-api.wordpress.com/bar/?stat=groovemails-events&amp;bin=wpcom_email_click&amp;redirect_to=https%3A%2F%2Fwww.transgendertrend.com%2Fgender-affirmative-model-social-transition-schools%2F&amp;sr=0&amp;signature=33cf70cf4662dcc98e862ae94e5bc84a&amp;blog_id=99364550&amp;user=6ac409c1d9f6feed27719e267d610dc7&amp;_e=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&amp;_z=z" TargetMode="External"/><Relationship Id="rId12" Type="http://schemas.openxmlformats.org/officeDocument/2006/relationships/hyperlink" Target="https://www.telegraph.co.uk/news/2023/04/17/single-sex-schools-can-reject-transgender-pupils/" TargetMode="External"/><Relationship Id="rId17" Type="http://schemas.openxmlformats.org/officeDocument/2006/relationships/hyperlink" Target="https://www.transgendertrend.com/teenager-says-theyre-transgender/" TargetMode="External"/><Relationship Id="rId25" Type="http://schemas.openxmlformats.org/officeDocument/2006/relationships/hyperlink" Target="https://www.transgendertrend.com/gender-affirmative-model-social-transition-schools/" TargetMode="External"/><Relationship Id="rId2" Type="http://schemas.openxmlformats.org/officeDocument/2006/relationships/styles" Target="styles.xml"/><Relationship Id="rId16" Type="http://schemas.openxmlformats.org/officeDocument/2006/relationships/hyperlink" Target="https://www.transgendertrend.com/childhood-social-transition/" TargetMode="External"/><Relationship Id="rId20" Type="http://schemas.openxmlformats.org/officeDocument/2006/relationships/hyperlink" Target="https://www.transgendertrend.com/wp-content/uploads/2023/04/Briefing-Gender-affirmation-v-watchful-waiting-in-schools.pdf" TargetMode="External"/><Relationship Id="rId29" Type="http://schemas.openxmlformats.org/officeDocument/2006/relationships/hyperlink" Target="https://public-api.wordpress.com/bar/?stat=groovemails-events&amp;bin=wpcom_email_click&amp;redirect_to=https%3A%2F%2Fsubscribe.wordpress.com%2F%3Fkey%3D54ed7e633d09e4d4c3b3b0cb813aec7e%26email%3Dr.e%2540rcadc.org%26option%3Dsettings&amp;sr=1&amp;signature=0b08ecb3e8d89ab265ecc40c41fa3503&amp;user=6ac409c1d9f6feed27719e267d610dc7&amp;_e=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&amp;_z=z" TargetMode="External"/><Relationship Id="rId1" Type="http://schemas.openxmlformats.org/officeDocument/2006/relationships/numbering" Target="numbering.xml"/><Relationship Id="rId6" Type="http://schemas.openxmlformats.org/officeDocument/2006/relationships/hyperlink" Target="https://www.transgendertrend.com" TargetMode="External"/><Relationship Id="rId11" Type="http://schemas.openxmlformats.org/officeDocument/2006/relationships/hyperlink" Target="https://www.thetimes.co.uk/article/teachers-must-tell-parents-about-pupils-gender-changes-r3ch5qqwh" TargetMode="External"/><Relationship Id="rId24" Type="http://schemas.openxmlformats.org/officeDocument/2006/relationships/hyperlink" Target="https://link.springer.com/article/10.1007/s10508-023-02588-5"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ransgendertrend.com/gender-affirmative-model-social-transition-schools/" TargetMode="External"/><Relationship Id="rId23" Type="http://schemas.openxmlformats.org/officeDocument/2006/relationships/hyperlink" Target="https://www.transgendertrend.com/gender-affirmative-model-social-transition-schools/" TargetMode="External"/><Relationship Id="rId28" Type="http://schemas.openxmlformats.org/officeDocument/2006/relationships/hyperlink" Target="https://public-api.wordpress.com/bar/?stat=groovemails-events&amp;bin=wpcom_email_click&amp;redirect_to=https%3A%2F%2Fsubscribe.wordpress.com%2F%3Fkey%3D54ed7e633d09e4d4c3b3b0cb813aec7e%26email%3Dr.e%2540rcadc.org%26b%3DDzmhat7bFOnpOEpbOsdZhEX9C_vZrwO4L-_ISnmRTsBjrMF5mqMgpx_GHW_hrLd0Amnnw1kE3UUv8FJEfeZoVTCkLqjHuFBjFAOOHmSxRyC5iiU7brUf-2w-5Yc3x6yMUMRPFDahFw%253D%253D&amp;sr=1&amp;signature=98629c394fadc6a0568a9311f5af538f&amp;user=6ac409c1d9f6feed27719e267d610dc7&amp;_e=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&amp;_z=z" TargetMode="External"/><Relationship Id="rId10" Type="http://schemas.openxmlformats.org/officeDocument/2006/relationships/image" Target="media/image3.jpeg"/><Relationship Id="rId19" Type="http://schemas.openxmlformats.org/officeDocument/2006/relationships/hyperlink" Target="https://policyexchange.org.uk/wp-content/uploads/Asleep-at-the-Wheel.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nsgendertrend.com/wp-content/uploads/2023/04/AdobeStock_210376177-scaled.jpeg" TargetMode="External"/><Relationship Id="rId14" Type="http://schemas.openxmlformats.org/officeDocument/2006/relationships/hyperlink" Target="https://www.transgendertrend.com/gender-affirmative-model-social-transition-schools/" TargetMode="External"/><Relationship Id="rId22" Type="http://schemas.openxmlformats.org/officeDocument/2006/relationships/hyperlink" Target="https://cass.independent-review.uk/publications/interim-report/" TargetMode="External"/><Relationship Id="rId27" Type="http://schemas.openxmlformats.org/officeDocument/2006/relationships/hyperlink" Target="https://public-api.wordpress.com/bar/?stat=groovemails-events&amp;bin=wpcom_email_click&amp;redirect_to=https%3A%2F%2Fwww.transgendertrend.com%2Fgender-affirmative-model-social-transition-schools%2F%23respond&amp;sr=0&amp;signature=ad9ae12a910be9fc07d1d9ea349cc950&amp;blog_id=99364550&amp;user=6ac409c1d9f6feed27719e267d610dc7&amp;_e=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&amp;_z=z" TargetMode="External"/><Relationship Id="rId30" Type="http://schemas.openxmlformats.org/officeDocument/2006/relationships/hyperlink" Target="https://www.transgendertrend.com/gender-affirmative-model-social-transitio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3154</Words>
  <Characters>17983</Characters>
  <Application>Microsoft Office Word</Application>
  <DocSecurity>0</DocSecurity>
  <Lines>149</Lines>
  <Paragraphs>42</Paragraphs>
  <ScaleCrop>false</ScaleCrop>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1</cp:revision>
  <dcterms:created xsi:type="dcterms:W3CDTF">2023-05-02T07:54:00Z</dcterms:created>
  <dcterms:modified xsi:type="dcterms:W3CDTF">2023-05-02T07:54:00Z</dcterms:modified>
</cp:coreProperties>
</file>