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EC52F" w14:textId="55B34014" w:rsidR="00A344F7" w:rsidRDefault="00BA42E5">
      <w:pPr>
        <w:rPr>
          <w:b/>
          <w:bCs/>
        </w:rPr>
      </w:pPr>
      <w:r w:rsidRPr="00733700"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58AE1A4D" wp14:editId="25F683CE">
            <wp:simplePos x="0" y="0"/>
            <wp:positionH relativeFrom="margin">
              <wp:posOffset>433070</wp:posOffset>
            </wp:positionH>
            <wp:positionV relativeFrom="margin">
              <wp:posOffset>-674370</wp:posOffset>
            </wp:positionV>
            <wp:extent cx="5007610" cy="1467485"/>
            <wp:effectExtent l="0" t="0" r="0" b="5715"/>
            <wp:wrapSquare wrapText="bothSides"/>
            <wp:docPr id="1" name="Picture 1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1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73BDA00" w14:textId="77777777" w:rsidR="00A344F7" w:rsidRDefault="00A344F7">
      <w:pPr>
        <w:rPr>
          <w:b/>
          <w:bCs/>
        </w:rPr>
      </w:pPr>
    </w:p>
    <w:p w14:paraId="38F23E07" w14:textId="77777777" w:rsidR="00BA42E5" w:rsidRDefault="00BA42E5">
      <w:pPr>
        <w:rPr>
          <w:b/>
          <w:bCs/>
        </w:rPr>
      </w:pPr>
    </w:p>
    <w:p w14:paraId="4F6FDB55" w14:textId="77777777" w:rsidR="00BA42E5" w:rsidRDefault="00BA42E5">
      <w:pPr>
        <w:rPr>
          <w:b/>
          <w:bCs/>
        </w:rPr>
      </w:pPr>
    </w:p>
    <w:p w14:paraId="220A3B47" w14:textId="77777777" w:rsidR="00A644B6" w:rsidRDefault="00A644B6" w:rsidP="004220DF">
      <w:pPr>
        <w:jc w:val="both"/>
        <w:rPr>
          <w:b/>
          <w:bCs/>
        </w:rPr>
      </w:pPr>
    </w:p>
    <w:p w14:paraId="68B7B0BC" w14:textId="3C201A45" w:rsidR="00A344F7" w:rsidRDefault="00A344F7" w:rsidP="004220DF">
      <w:pPr>
        <w:jc w:val="both"/>
        <w:rPr>
          <w:b/>
          <w:bCs/>
        </w:rPr>
      </w:pPr>
      <w:r>
        <w:rPr>
          <w:b/>
          <w:bCs/>
        </w:rPr>
        <w:t xml:space="preserve">Secondary Advisers </w:t>
      </w:r>
      <w:r w:rsidR="00C11BDB">
        <w:rPr>
          <w:b/>
          <w:bCs/>
        </w:rPr>
        <w:t>Meeting</w:t>
      </w:r>
      <w:r w:rsidR="000B3B72">
        <w:rPr>
          <w:b/>
          <w:bCs/>
        </w:rPr>
        <w:t>: Tuesday 29 June</w:t>
      </w:r>
      <w:r w:rsidR="00C11BDB">
        <w:rPr>
          <w:b/>
          <w:bCs/>
        </w:rPr>
        <w:t xml:space="preserve"> 2021 Feast of St Peter and St Paul</w:t>
      </w:r>
      <w:r w:rsidR="000B3B72">
        <w:rPr>
          <w:b/>
          <w:bCs/>
        </w:rPr>
        <w:t xml:space="preserve"> from 10.00</w:t>
      </w:r>
    </w:p>
    <w:p w14:paraId="771AF184" w14:textId="5FB040A0" w:rsidR="006C45B0" w:rsidRDefault="006C45B0" w:rsidP="004220DF">
      <w:pPr>
        <w:jc w:val="both"/>
        <w:rPr>
          <w:b/>
          <w:bCs/>
        </w:rPr>
      </w:pPr>
    </w:p>
    <w:p w14:paraId="6FA37B1B" w14:textId="77777777" w:rsidR="006C45B0" w:rsidRPr="00526780" w:rsidRDefault="006C45B0" w:rsidP="006C45B0">
      <w:pPr>
        <w:jc w:val="both"/>
        <w:rPr>
          <w:b/>
          <w:bCs/>
        </w:rPr>
      </w:pPr>
      <w:r w:rsidRPr="00526780">
        <w:rPr>
          <w:b/>
          <w:bCs/>
        </w:rPr>
        <w:t>Those Present:</w:t>
      </w:r>
    </w:p>
    <w:p w14:paraId="6DB6B7B6" w14:textId="18FCF17A" w:rsidR="006C45B0" w:rsidRDefault="006C45B0" w:rsidP="006C45B0">
      <w:pPr>
        <w:jc w:val="both"/>
      </w:pPr>
      <w:r w:rsidRPr="007A054A">
        <w:t xml:space="preserve">John Adams </w:t>
      </w:r>
      <w:r w:rsidR="00EE0113">
        <w:t>–</w:t>
      </w:r>
      <w:r w:rsidRPr="007A054A">
        <w:t xml:space="preserve"> Brentwood</w:t>
      </w:r>
    </w:p>
    <w:p w14:paraId="60416D02" w14:textId="42CC0B53" w:rsidR="00EE0113" w:rsidRPr="007A054A" w:rsidRDefault="00EE0113" w:rsidP="006C45B0">
      <w:pPr>
        <w:jc w:val="both"/>
      </w:pPr>
      <w:r>
        <w:t xml:space="preserve">Kate Bailey – Middlesbrough </w:t>
      </w:r>
    </w:p>
    <w:p w14:paraId="048445FD" w14:textId="77777777" w:rsidR="006C45B0" w:rsidRPr="007A054A" w:rsidRDefault="006C45B0" w:rsidP="006C45B0">
      <w:pPr>
        <w:jc w:val="both"/>
      </w:pPr>
      <w:r w:rsidRPr="007A054A">
        <w:t>Andrew Barron – Hexham and Newcastle</w:t>
      </w:r>
    </w:p>
    <w:p w14:paraId="617DBB7F" w14:textId="400F5331" w:rsidR="006C45B0" w:rsidRPr="007A054A" w:rsidRDefault="006C45B0" w:rsidP="006C45B0">
      <w:pPr>
        <w:jc w:val="both"/>
      </w:pPr>
      <w:r w:rsidRPr="007A054A">
        <w:t xml:space="preserve">Julia Cunningham - </w:t>
      </w:r>
      <w:r w:rsidR="007A054A" w:rsidRPr="007A054A">
        <w:t>Shrewsbury</w:t>
      </w:r>
    </w:p>
    <w:p w14:paraId="2F8EE702" w14:textId="77777777" w:rsidR="006C45B0" w:rsidRPr="007A054A" w:rsidRDefault="006C45B0" w:rsidP="006C45B0">
      <w:pPr>
        <w:jc w:val="both"/>
      </w:pPr>
      <w:r w:rsidRPr="007A054A">
        <w:t>Stephen D’Arcy – Lancaster</w:t>
      </w:r>
    </w:p>
    <w:p w14:paraId="16ECBC19" w14:textId="77777777" w:rsidR="006C45B0" w:rsidRPr="007A054A" w:rsidRDefault="006C45B0" w:rsidP="006C45B0">
      <w:pPr>
        <w:jc w:val="both"/>
      </w:pPr>
      <w:r w:rsidRPr="007A054A">
        <w:t>Patrick Harrison – Southwark</w:t>
      </w:r>
    </w:p>
    <w:p w14:paraId="7FBA3C17" w14:textId="77777777" w:rsidR="00EE0113" w:rsidRDefault="00EE0113" w:rsidP="00EE0113">
      <w:pPr>
        <w:jc w:val="both"/>
      </w:pPr>
      <w:r w:rsidRPr="007A054A">
        <w:t>Claire Franke – Arundel &amp;Brighton</w:t>
      </w:r>
    </w:p>
    <w:p w14:paraId="12F8D74A" w14:textId="77777777" w:rsidR="006C45B0" w:rsidRPr="007A054A" w:rsidRDefault="006C45B0" w:rsidP="006C45B0">
      <w:pPr>
        <w:jc w:val="both"/>
      </w:pPr>
      <w:r w:rsidRPr="007A054A">
        <w:t>Trish Hedley - Westminster</w:t>
      </w:r>
    </w:p>
    <w:p w14:paraId="6F67DAF1" w14:textId="77777777" w:rsidR="006C45B0" w:rsidRPr="007A054A" w:rsidRDefault="006C45B0" w:rsidP="006C45B0">
      <w:pPr>
        <w:jc w:val="both"/>
      </w:pPr>
      <w:r w:rsidRPr="007A054A">
        <w:t xml:space="preserve">Susan </w:t>
      </w:r>
      <w:proofErr w:type="spellStart"/>
      <w:r w:rsidRPr="007A054A">
        <w:t>Kambalu</w:t>
      </w:r>
      <w:proofErr w:type="spellEnd"/>
      <w:r w:rsidRPr="007A054A">
        <w:t xml:space="preserve"> – CAFOD</w:t>
      </w:r>
    </w:p>
    <w:p w14:paraId="694552CC" w14:textId="77777777" w:rsidR="00EE0113" w:rsidRPr="007A054A" w:rsidRDefault="00EE0113" w:rsidP="00EE0113">
      <w:pPr>
        <w:jc w:val="both"/>
      </w:pPr>
      <w:r w:rsidRPr="007A054A">
        <w:t>Paul Mc Hugh – Northampton</w:t>
      </w:r>
    </w:p>
    <w:p w14:paraId="7E473E11" w14:textId="2D701525" w:rsidR="006C45B0" w:rsidRPr="007A054A" w:rsidRDefault="006C45B0" w:rsidP="006C45B0">
      <w:pPr>
        <w:jc w:val="both"/>
      </w:pPr>
      <w:r w:rsidRPr="007A054A">
        <w:t xml:space="preserve">Paul </w:t>
      </w:r>
      <w:proofErr w:type="spellStart"/>
      <w:r w:rsidRPr="007A054A">
        <w:t>Mannings</w:t>
      </w:r>
      <w:proofErr w:type="spellEnd"/>
      <w:r w:rsidRPr="007A054A">
        <w:t xml:space="preserve"> – Liverpool</w:t>
      </w:r>
      <w:r w:rsidR="00965926">
        <w:t xml:space="preserve"> - Chair</w:t>
      </w:r>
    </w:p>
    <w:p w14:paraId="01DC2F4F" w14:textId="546DA123" w:rsidR="00EE0113" w:rsidRPr="007A054A" w:rsidRDefault="00C11BDB" w:rsidP="006C45B0">
      <w:pPr>
        <w:jc w:val="both"/>
      </w:pPr>
      <w:r w:rsidRPr="007A054A">
        <w:t>Maria Neal</w:t>
      </w:r>
      <w:r w:rsidR="007A054A" w:rsidRPr="007A054A">
        <w:t xml:space="preserve"> – Jesuit Institute</w:t>
      </w:r>
    </w:p>
    <w:p w14:paraId="0E250F62" w14:textId="77777777" w:rsidR="006C45B0" w:rsidRPr="007A054A" w:rsidRDefault="006C45B0" w:rsidP="006C45B0">
      <w:pPr>
        <w:jc w:val="both"/>
      </w:pPr>
      <w:r w:rsidRPr="007A054A">
        <w:t xml:space="preserve">Anna </w:t>
      </w:r>
      <w:proofErr w:type="spellStart"/>
      <w:r w:rsidRPr="007A054A">
        <w:t>Nutall</w:t>
      </w:r>
      <w:proofErr w:type="spellEnd"/>
      <w:r w:rsidRPr="007A054A">
        <w:t xml:space="preserve"> – Salford</w:t>
      </w:r>
    </w:p>
    <w:p w14:paraId="3ECBEA29" w14:textId="77777777" w:rsidR="006C45B0" w:rsidRPr="007A054A" w:rsidRDefault="006C45B0" w:rsidP="006C45B0">
      <w:pPr>
        <w:jc w:val="both"/>
      </w:pPr>
      <w:r w:rsidRPr="007A054A">
        <w:t>Claire O’Neill - Westminster</w:t>
      </w:r>
    </w:p>
    <w:p w14:paraId="2F8F4147" w14:textId="77777777" w:rsidR="006C45B0" w:rsidRPr="007A054A" w:rsidRDefault="006C45B0" w:rsidP="006C45B0">
      <w:pPr>
        <w:jc w:val="both"/>
      </w:pPr>
      <w:r w:rsidRPr="007A054A">
        <w:t>Philip Robinson - CES</w:t>
      </w:r>
    </w:p>
    <w:p w14:paraId="25C80056" w14:textId="71352203" w:rsidR="006C45B0" w:rsidRPr="007A054A" w:rsidRDefault="006C45B0" w:rsidP="006C45B0">
      <w:pPr>
        <w:jc w:val="both"/>
      </w:pPr>
      <w:r w:rsidRPr="007A054A">
        <w:t>Des Seddon – Liverpool</w:t>
      </w:r>
    </w:p>
    <w:p w14:paraId="1E66B22C" w14:textId="4E3CEB4B" w:rsidR="007A054A" w:rsidRPr="007A054A" w:rsidRDefault="007A054A" w:rsidP="006C45B0">
      <w:pPr>
        <w:jc w:val="both"/>
      </w:pPr>
      <w:r w:rsidRPr="007A054A">
        <w:t xml:space="preserve">Bernard </w:t>
      </w:r>
      <w:proofErr w:type="spellStart"/>
      <w:r w:rsidRPr="007A054A">
        <w:t>Sixtus</w:t>
      </w:r>
      <w:proofErr w:type="spellEnd"/>
      <w:r w:rsidRPr="007A054A">
        <w:t xml:space="preserve"> - Cardiff</w:t>
      </w:r>
    </w:p>
    <w:p w14:paraId="78AD8960" w14:textId="7D50B27A" w:rsidR="00C11BDB" w:rsidRPr="00E06A52" w:rsidRDefault="00C11BDB" w:rsidP="006C45B0">
      <w:pPr>
        <w:jc w:val="both"/>
        <w:rPr>
          <w:i/>
        </w:rPr>
      </w:pPr>
      <w:r w:rsidRPr="00EE0113">
        <w:t xml:space="preserve">Jeremy Skelton </w:t>
      </w:r>
      <w:r w:rsidR="00E06A52" w:rsidRPr="00EE0113">
        <w:t>–</w:t>
      </w:r>
      <w:r w:rsidRPr="00EE0113">
        <w:t xml:space="preserve"> Plymouth</w:t>
      </w:r>
      <w:r w:rsidR="00E06A52" w:rsidRPr="00EE0113">
        <w:t xml:space="preserve">  </w:t>
      </w:r>
    </w:p>
    <w:p w14:paraId="1E6D224C" w14:textId="3CDA3133" w:rsidR="00C11BDB" w:rsidRPr="007A054A" w:rsidRDefault="00C11BDB" w:rsidP="006C45B0">
      <w:pPr>
        <w:jc w:val="both"/>
      </w:pPr>
      <w:r w:rsidRPr="007A054A">
        <w:t>Richard S</w:t>
      </w:r>
      <w:r w:rsidR="001A1D09" w:rsidRPr="007A054A">
        <w:t>mith</w:t>
      </w:r>
      <w:r w:rsidRPr="007A054A">
        <w:t xml:space="preserve"> -Birmingham</w:t>
      </w:r>
    </w:p>
    <w:p w14:paraId="12DE50E3" w14:textId="77777777" w:rsidR="006A6F16" w:rsidRPr="007A054A" w:rsidRDefault="006A6F16" w:rsidP="006A6F16">
      <w:pPr>
        <w:jc w:val="both"/>
      </w:pPr>
      <w:r w:rsidRPr="007A054A">
        <w:t>David Walford – Portsmouth</w:t>
      </w:r>
    </w:p>
    <w:p w14:paraId="04C197EC" w14:textId="079FCEFC" w:rsidR="006C45B0" w:rsidRPr="007A054A" w:rsidRDefault="006C45B0" w:rsidP="006C45B0">
      <w:pPr>
        <w:jc w:val="both"/>
      </w:pPr>
      <w:r w:rsidRPr="007A054A">
        <w:t xml:space="preserve">Peter Ward – </w:t>
      </w:r>
      <w:r w:rsidR="00C11BDB" w:rsidRPr="007A054A">
        <w:t>Cardiff</w:t>
      </w:r>
    </w:p>
    <w:p w14:paraId="3D915110" w14:textId="7FD05226" w:rsidR="007A054A" w:rsidRDefault="007A054A" w:rsidP="006C45B0">
      <w:pPr>
        <w:jc w:val="both"/>
      </w:pPr>
      <w:r w:rsidRPr="007A054A">
        <w:t>Louise White - Clifton</w:t>
      </w:r>
    </w:p>
    <w:p w14:paraId="6DC85997" w14:textId="77777777" w:rsidR="006C45B0" w:rsidRDefault="006C45B0" w:rsidP="006C45B0">
      <w:pPr>
        <w:jc w:val="both"/>
      </w:pPr>
    </w:p>
    <w:p w14:paraId="3A21F070" w14:textId="77777777" w:rsidR="006C45B0" w:rsidRPr="00526780" w:rsidRDefault="006C45B0" w:rsidP="006C45B0">
      <w:pPr>
        <w:jc w:val="both"/>
        <w:rPr>
          <w:b/>
          <w:bCs/>
        </w:rPr>
      </w:pPr>
      <w:r w:rsidRPr="00526780">
        <w:rPr>
          <w:b/>
          <w:bCs/>
        </w:rPr>
        <w:t>Apologies</w:t>
      </w:r>
    </w:p>
    <w:p w14:paraId="4311D8D2" w14:textId="3FFFD4CB" w:rsidR="006C45B0" w:rsidRPr="00E06A52" w:rsidRDefault="006C45B0" w:rsidP="006C45B0">
      <w:pPr>
        <w:jc w:val="both"/>
      </w:pPr>
      <w:r w:rsidRPr="00E06A52">
        <w:t xml:space="preserve">Deirdre Cleary </w:t>
      </w:r>
      <w:r w:rsidR="00DD76BC" w:rsidRPr="00E06A52">
        <w:t>–</w:t>
      </w:r>
      <w:r w:rsidRPr="00E06A52">
        <w:t xml:space="preserve"> Hallam</w:t>
      </w:r>
    </w:p>
    <w:p w14:paraId="0B660B13" w14:textId="32CC5100" w:rsidR="00DD76BC" w:rsidRPr="00E06A52" w:rsidRDefault="00DD76BC" w:rsidP="006C45B0">
      <w:pPr>
        <w:jc w:val="both"/>
      </w:pPr>
      <w:r w:rsidRPr="00E06A52">
        <w:t xml:space="preserve">David Quinn </w:t>
      </w:r>
      <w:r w:rsidR="007A054A" w:rsidRPr="00E06A52">
        <w:t>–</w:t>
      </w:r>
      <w:r w:rsidRPr="00E06A52">
        <w:t xml:space="preserve"> Nottingham</w:t>
      </w:r>
    </w:p>
    <w:p w14:paraId="6133CF27" w14:textId="120BF13B" w:rsidR="007A054A" w:rsidRDefault="007A054A" w:rsidP="007A054A">
      <w:pPr>
        <w:jc w:val="both"/>
      </w:pPr>
      <w:r w:rsidRPr="00E06A52">
        <w:t>Tom Reilly – East Angli</w:t>
      </w:r>
      <w:r w:rsidR="00EE0113">
        <w:t>a</w:t>
      </w:r>
    </w:p>
    <w:p w14:paraId="464372D6" w14:textId="24994A92" w:rsidR="007A054A" w:rsidRDefault="007A054A" w:rsidP="007A054A">
      <w:pPr>
        <w:jc w:val="both"/>
      </w:pPr>
    </w:p>
    <w:p w14:paraId="380CE180" w14:textId="77777777" w:rsidR="007A054A" w:rsidRDefault="007A054A" w:rsidP="007A054A">
      <w:pPr>
        <w:jc w:val="both"/>
      </w:pPr>
    </w:p>
    <w:p w14:paraId="1463042C" w14:textId="7DE37009" w:rsidR="00C11BDB" w:rsidRDefault="00C11BDB" w:rsidP="004220DF">
      <w:pPr>
        <w:jc w:val="both"/>
        <w:rPr>
          <w:b/>
          <w:bCs/>
        </w:rPr>
      </w:pPr>
      <w:r>
        <w:rPr>
          <w:b/>
          <w:bCs/>
        </w:rPr>
        <w:t xml:space="preserve">Welcome and Opening Prayer: Paul </w:t>
      </w:r>
      <w:proofErr w:type="spellStart"/>
      <w:r>
        <w:rPr>
          <w:b/>
          <w:bCs/>
        </w:rPr>
        <w:t>Mannings</w:t>
      </w:r>
      <w:proofErr w:type="spellEnd"/>
      <w:r>
        <w:rPr>
          <w:b/>
          <w:bCs/>
        </w:rPr>
        <w:t xml:space="preserve"> </w:t>
      </w:r>
    </w:p>
    <w:p w14:paraId="60188E78" w14:textId="291E7327" w:rsidR="000B3B72" w:rsidRDefault="000B3B72" w:rsidP="004220DF">
      <w:pPr>
        <w:jc w:val="both"/>
        <w:rPr>
          <w:b/>
          <w:bCs/>
        </w:rPr>
      </w:pPr>
    </w:p>
    <w:p w14:paraId="103465AE" w14:textId="3245891A" w:rsidR="000B3B72" w:rsidRDefault="000B3B72" w:rsidP="004220DF">
      <w:pPr>
        <w:jc w:val="both"/>
      </w:pPr>
      <w:r>
        <w:t>Focus</w:t>
      </w:r>
      <w:r w:rsidR="00A644B6">
        <w:t xml:space="preserve"> Time: </w:t>
      </w:r>
      <w:r>
        <w:t xml:space="preserve">Prayer and Personal Reflection – led by Fr Eamonn Mulcahy </w:t>
      </w:r>
      <w:proofErr w:type="spellStart"/>
      <w:r>
        <w:t>CssP</w:t>
      </w:r>
      <w:proofErr w:type="spellEnd"/>
    </w:p>
    <w:p w14:paraId="72F68122" w14:textId="75C4E61E" w:rsidR="000B3B72" w:rsidRDefault="000B3B72" w:rsidP="004220DF">
      <w:pPr>
        <w:jc w:val="both"/>
      </w:pPr>
    </w:p>
    <w:p w14:paraId="22FBAB8A" w14:textId="77777777" w:rsidR="002F09E3" w:rsidRPr="002F09E3" w:rsidRDefault="002F09E3" w:rsidP="004220DF">
      <w:pPr>
        <w:jc w:val="both"/>
        <w:rPr>
          <w:iCs/>
        </w:rPr>
      </w:pPr>
    </w:p>
    <w:p w14:paraId="19AFF70F" w14:textId="0EA5C17C" w:rsidR="000B3B72" w:rsidRDefault="000B3B72" w:rsidP="004220DF">
      <w:pPr>
        <w:jc w:val="both"/>
      </w:pPr>
    </w:p>
    <w:p w14:paraId="25ABA9BF" w14:textId="459BC281" w:rsidR="000B3B72" w:rsidRDefault="000B3B72" w:rsidP="004220DF">
      <w:pPr>
        <w:jc w:val="both"/>
      </w:pPr>
    </w:p>
    <w:p w14:paraId="3D497437" w14:textId="10A91AB8" w:rsidR="0090106E" w:rsidRDefault="000B3B72" w:rsidP="00477C5D">
      <w:pPr>
        <w:jc w:val="both"/>
      </w:pPr>
      <w:r w:rsidRPr="002F09E3">
        <w:rPr>
          <w:b/>
        </w:rPr>
        <w:t>National Working Party on RE Teacher Recruitment and Retention</w:t>
      </w:r>
      <w:r w:rsidR="00046410">
        <w:t xml:space="preserve"> – Matthew Dell, St Mary’s University</w:t>
      </w:r>
      <w:r w:rsidR="00F715CC">
        <w:t xml:space="preserve"> reported on the background and establishment of a national working party. </w:t>
      </w:r>
      <w:r w:rsidR="007A0467">
        <w:t xml:space="preserve">He shared the </w:t>
      </w:r>
      <w:proofErr w:type="spellStart"/>
      <w:r w:rsidR="007A0467">
        <w:t>powerpoint</w:t>
      </w:r>
      <w:proofErr w:type="spellEnd"/>
      <w:r w:rsidR="007A0467">
        <w:t xml:space="preserve"> that provided the structure for the first meeting. There are a further </w:t>
      </w:r>
      <w:r w:rsidR="007A0467">
        <w:lastRenderedPageBreak/>
        <w:t>four meetings planned while developing a policy report scheduled for June 2022.</w:t>
      </w:r>
      <w:r w:rsidR="0090106E">
        <w:t xml:space="preserve"> CES have commissioned some research from St Mary’s University to support the work</w:t>
      </w:r>
      <w:r w:rsidR="0011107E">
        <w:t xml:space="preserve"> and Westminster Diocese has already been approached for support</w:t>
      </w:r>
      <w:r w:rsidR="00E75C94">
        <w:t xml:space="preserve">. In all </w:t>
      </w:r>
      <w:r w:rsidR="0090106E">
        <w:t>410 schools in England and Wales will be part of the survey.</w:t>
      </w:r>
    </w:p>
    <w:p w14:paraId="4272D205" w14:textId="3016E2A2" w:rsidR="00965926" w:rsidRDefault="00965926" w:rsidP="00477C5D">
      <w:pPr>
        <w:jc w:val="both"/>
      </w:pPr>
      <w:r>
        <w:t>Colleagues emphasised the following areas:</w:t>
      </w:r>
    </w:p>
    <w:p w14:paraId="79013B83" w14:textId="30CC44A4" w:rsidR="00965926" w:rsidRDefault="00965926" w:rsidP="00965926">
      <w:pPr>
        <w:pStyle w:val="ListParagraph"/>
        <w:numPr>
          <w:ilvl w:val="0"/>
          <w:numId w:val="10"/>
        </w:numPr>
        <w:jc w:val="both"/>
      </w:pPr>
      <w:r>
        <w:t>Retention of Religious Education teachers – is there any data on why teachers leave</w:t>
      </w:r>
    </w:p>
    <w:p w14:paraId="27721222" w14:textId="1D243821" w:rsidR="00965926" w:rsidRDefault="00965926" w:rsidP="00965926">
      <w:pPr>
        <w:pStyle w:val="ListParagraph"/>
        <w:numPr>
          <w:ilvl w:val="0"/>
          <w:numId w:val="10"/>
        </w:numPr>
        <w:jc w:val="both"/>
      </w:pPr>
      <w:r>
        <w:t>Retraining Catholic staff teaching other subjects: possible opportunity for CCRS</w:t>
      </w:r>
    </w:p>
    <w:p w14:paraId="118A00C4" w14:textId="49B18A03" w:rsidR="00965926" w:rsidRDefault="00965926" w:rsidP="00965926">
      <w:pPr>
        <w:pStyle w:val="ListParagraph"/>
        <w:numPr>
          <w:ilvl w:val="0"/>
          <w:numId w:val="10"/>
        </w:numPr>
        <w:jc w:val="both"/>
      </w:pPr>
      <w:r>
        <w:t>Supporting non-specialist Religious Education teachers in their teaching.</w:t>
      </w:r>
    </w:p>
    <w:p w14:paraId="3B087992" w14:textId="65592B00" w:rsidR="00965926" w:rsidRDefault="00965926" w:rsidP="00965926">
      <w:pPr>
        <w:jc w:val="both"/>
      </w:pPr>
      <w:r>
        <w:t>MD welcomed these and other suggestions and invited colleagues to contact him with ideas or examples of good practice either through PM or directly.</w:t>
      </w:r>
    </w:p>
    <w:p w14:paraId="28D3867A" w14:textId="4270DB13" w:rsidR="00965926" w:rsidRDefault="00965926" w:rsidP="00965926">
      <w:pPr>
        <w:jc w:val="both"/>
      </w:pPr>
      <w:r>
        <w:t>MD also drew attention to the ATCRE conference in the Autumn</w:t>
      </w:r>
    </w:p>
    <w:p w14:paraId="72440AEE" w14:textId="37643822" w:rsidR="00965926" w:rsidRDefault="00965926" w:rsidP="00477C5D">
      <w:pPr>
        <w:jc w:val="both"/>
      </w:pPr>
    </w:p>
    <w:p w14:paraId="1ACA4AF1" w14:textId="7E91324D" w:rsidR="00965926" w:rsidRDefault="00965926" w:rsidP="00477C5D">
      <w:pPr>
        <w:jc w:val="both"/>
        <w:rPr>
          <w:b/>
        </w:rPr>
      </w:pPr>
      <w:r>
        <w:rPr>
          <w:b/>
        </w:rPr>
        <w:t>CAFOD Update</w:t>
      </w:r>
    </w:p>
    <w:p w14:paraId="2343C257" w14:textId="75131148" w:rsidR="00965926" w:rsidRDefault="00965926" w:rsidP="00477C5D">
      <w:pPr>
        <w:jc w:val="both"/>
      </w:pPr>
      <w:r>
        <w:t xml:space="preserve">SK briefed the meeting on </w:t>
      </w:r>
      <w:proofErr w:type="spellStart"/>
      <w:r>
        <w:t>Cafod’s</w:t>
      </w:r>
      <w:proofErr w:type="spellEnd"/>
      <w:r>
        <w:t xml:space="preserve"> plans for the rest of 2021 including</w:t>
      </w:r>
    </w:p>
    <w:p w14:paraId="778ADBC8" w14:textId="3A8F3509" w:rsidR="00965926" w:rsidRDefault="00965926" w:rsidP="00965926">
      <w:pPr>
        <w:pStyle w:val="ListParagraph"/>
        <w:numPr>
          <w:ilvl w:val="0"/>
          <w:numId w:val="11"/>
        </w:numPr>
        <w:jc w:val="both"/>
      </w:pPr>
      <w:r>
        <w:t>‘Eyes of the World’ focus ahead of COP26</w:t>
      </w:r>
    </w:p>
    <w:p w14:paraId="22F27F5A" w14:textId="37D86BDE" w:rsidR="00965926" w:rsidRDefault="00965926" w:rsidP="00965926">
      <w:pPr>
        <w:pStyle w:val="ListParagraph"/>
        <w:numPr>
          <w:ilvl w:val="0"/>
          <w:numId w:val="11"/>
        </w:numPr>
        <w:jc w:val="both"/>
      </w:pPr>
      <w:r>
        <w:t>Harvest campaign</w:t>
      </w:r>
    </w:p>
    <w:p w14:paraId="04AEE225" w14:textId="40E363F2" w:rsidR="00965926" w:rsidRDefault="00965926" w:rsidP="00965926">
      <w:pPr>
        <w:pStyle w:val="ListParagraph"/>
        <w:numPr>
          <w:ilvl w:val="0"/>
          <w:numId w:val="11"/>
        </w:numPr>
        <w:jc w:val="both"/>
      </w:pPr>
      <w:r>
        <w:t>Fratelli Tutti resources</w:t>
      </w:r>
    </w:p>
    <w:p w14:paraId="6E7E1F2A" w14:textId="683DF32F" w:rsidR="00965926" w:rsidRDefault="00965926" w:rsidP="00965926">
      <w:pPr>
        <w:jc w:val="both"/>
      </w:pPr>
      <w:r>
        <w:t>SK welcomed feedback on the on-line assemblies that had been produced</w:t>
      </w:r>
      <w:r w:rsidR="00B01F88">
        <w:t>; provision is being reviewed from September 2021.</w:t>
      </w:r>
    </w:p>
    <w:p w14:paraId="2BA73F06" w14:textId="7B1ED011" w:rsidR="00B01F88" w:rsidRDefault="00B01F88" w:rsidP="00965926">
      <w:pPr>
        <w:jc w:val="both"/>
      </w:pPr>
      <w:r>
        <w:t>SK also reported that</w:t>
      </w:r>
    </w:p>
    <w:p w14:paraId="682108E5" w14:textId="6A4CDA0B" w:rsidR="00B01F88" w:rsidRDefault="00B01F88" w:rsidP="00B01F88">
      <w:pPr>
        <w:pStyle w:val="ListParagraph"/>
        <w:numPr>
          <w:ilvl w:val="0"/>
          <w:numId w:val="12"/>
        </w:numPr>
        <w:jc w:val="both"/>
      </w:pPr>
      <w:r>
        <w:t>CPD support would be in-person on line in 2021/22</w:t>
      </w:r>
    </w:p>
    <w:p w14:paraId="2155C877" w14:textId="526116F6" w:rsidR="00B01F88" w:rsidRDefault="00B01F88" w:rsidP="00B01F88">
      <w:pPr>
        <w:pStyle w:val="ListParagraph"/>
        <w:numPr>
          <w:ilvl w:val="0"/>
          <w:numId w:val="12"/>
        </w:numPr>
        <w:jc w:val="both"/>
      </w:pPr>
      <w:r>
        <w:t>British Council contract was coming to an end – some individual projects continued</w:t>
      </w:r>
    </w:p>
    <w:p w14:paraId="71BAB68D" w14:textId="54D12786" w:rsidR="00B01F88" w:rsidRDefault="00B01F88" w:rsidP="00B01F88">
      <w:pPr>
        <w:pStyle w:val="ListParagraph"/>
        <w:numPr>
          <w:ilvl w:val="0"/>
          <w:numId w:val="12"/>
        </w:numPr>
        <w:jc w:val="both"/>
      </w:pPr>
      <w:r>
        <w:t>Chaplains’ ‘coffee catch-ups’ were continuing, probably half termly</w:t>
      </w:r>
    </w:p>
    <w:p w14:paraId="76E628BA" w14:textId="60F9B8C5" w:rsidR="00B01F88" w:rsidRDefault="00B01F88" w:rsidP="00B01F88">
      <w:pPr>
        <w:jc w:val="both"/>
      </w:pPr>
      <w:r>
        <w:t xml:space="preserve">SK thanked advisers for their support for </w:t>
      </w:r>
      <w:proofErr w:type="spellStart"/>
      <w:r>
        <w:t>Cafod</w:t>
      </w:r>
      <w:proofErr w:type="spellEnd"/>
      <w:r>
        <w:t xml:space="preserve">; PM voiced </w:t>
      </w:r>
      <w:proofErr w:type="gramStart"/>
      <w:r>
        <w:t>advisers</w:t>
      </w:r>
      <w:proofErr w:type="gramEnd"/>
      <w:r>
        <w:t xml:space="preserve"> appreciation of the work of </w:t>
      </w:r>
      <w:proofErr w:type="spellStart"/>
      <w:r>
        <w:t>Cafod</w:t>
      </w:r>
      <w:proofErr w:type="spellEnd"/>
      <w:r>
        <w:t>.</w:t>
      </w:r>
    </w:p>
    <w:p w14:paraId="6732438B" w14:textId="0E560D81" w:rsidR="00E7189E" w:rsidRDefault="00E7189E" w:rsidP="00B01F88">
      <w:pPr>
        <w:jc w:val="both"/>
      </w:pPr>
    </w:p>
    <w:p w14:paraId="1650D7D2" w14:textId="02DFA4A6" w:rsidR="00E7189E" w:rsidRDefault="00E7189E" w:rsidP="00B01F88">
      <w:pPr>
        <w:jc w:val="both"/>
        <w:rPr>
          <w:b/>
        </w:rPr>
      </w:pPr>
      <w:r>
        <w:rPr>
          <w:b/>
        </w:rPr>
        <w:t>News from this term</w:t>
      </w:r>
    </w:p>
    <w:p w14:paraId="58BC174C" w14:textId="3194B9F6" w:rsidR="00E7189E" w:rsidRDefault="00E7189E" w:rsidP="00B01F88">
      <w:pPr>
        <w:jc w:val="both"/>
      </w:pPr>
      <w:r>
        <w:t>A general exchange of experiences and concerns noted</w:t>
      </w:r>
    </w:p>
    <w:p w14:paraId="31AEEDEE" w14:textId="7C8E9EDA" w:rsidR="00E7189E" w:rsidRDefault="00E7189E" w:rsidP="00E7189E">
      <w:pPr>
        <w:pStyle w:val="ListParagraph"/>
        <w:numPr>
          <w:ilvl w:val="0"/>
          <w:numId w:val="13"/>
        </w:numPr>
        <w:jc w:val="both"/>
      </w:pPr>
      <w:r>
        <w:t>Teachers are really very exhausted</w:t>
      </w:r>
    </w:p>
    <w:p w14:paraId="06710C62" w14:textId="0F8DF3D7" w:rsidR="00E7189E" w:rsidRDefault="00E7189E" w:rsidP="00E7189E">
      <w:pPr>
        <w:pStyle w:val="ListParagraph"/>
        <w:numPr>
          <w:ilvl w:val="0"/>
          <w:numId w:val="13"/>
        </w:numPr>
        <w:jc w:val="both"/>
      </w:pPr>
      <w:r>
        <w:t xml:space="preserve">Various forms of collaboration organised by dioceses, and across diocesan boundaries, was appreciated by teachers. Grouping by exam boards assisted </w:t>
      </w:r>
      <w:proofErr w:type="gramStart"/>
      <w:r>
        <w:t>teachers</w:t>
      </w:r>
      <w:proofErr w:type="gramEnd"/>
      <w:r>
        <w:t xml:space="preserve"> quality assuring their Teacher Assessed Grades. </w:t>
      </w:r>
    </w:p>
    <w:p w14:paraId="771E8385" w14:textId="68A87602" w:rsidR="00E7189E" w:rsidRDefault="00E7189E" w:rsidP="00E7189E">
      <w:pPr>
        <w:pStyle w:val="ListParagraph"/>
        <w:numPr>
          <w:ilvl w:val="0"/>
          <w:numId w:val="13"/>
        </w:numPr>
        <w:jc w:val="both"/>
      </w:pPr>
      <w:r>
        <w:t>Differential level of support from exam boards was widely commented upon.</w:t>
      </w:r>
    </w:p>
    <w:p w14:paraId="21C40BC3" w14:textId="6D1231C1" w:rsidR="00E7189E" w:rsidRDefault="00E7189E" w:rsidP="00E7189E">
      <w:pPr>
        <w:pStyle w:val="ListParagraph"/>
        <w:numPr>
          <w:ilvl w:val="0"/>
          <w:numId w:val="13"/>
        </w:numPr>
        <w:jc w:val="both"/>
      </w:pPr>
      <w:r>
        <w:t xml:space="preserve">Some concern about exam boards requesting scripts as evidence but experience to date seemed satisfactory. </w:t>
      </w:r>
    </w:p>
    <w:p w14:paraId="5C2EEF4A" w14:textId="46243BFF" w:rsidR="00E7189E" w:rsidRDefault="00E7189E" w:rsidP="00E7189E">
      <w:pPr>
        <w:pStyle w:val="ListParagraph"/>
        <w:numPr>
          <w:ilvl w:val="0"/>
          <w:numId w:val="13"/>
        </w:numPr>
        <w:jc w:val="both"/>
      </w:pPr>
      <w:r>
        <w:t>Widespread concern at prospect of significant numbers of appeals on results day: 10 August 2021.</w:t>
      </w:r>
    </w:p>
    <w:p w14:paraId="4C786FC3" w14:textId="77777777" w:rsidR="002820B0" w:rsidRDefault="00E7189E" w:rsidP="00E7189E">
      <w:pPr>
        <w:pStyle w:val="ListParagraph"/>
        <w:numPr>
          <w:ilvl w:val="0"/>
          <w:numId w:val="13"/>
        </w:numPr>
        <w:jc w:val="both"/>
      </w:pPr>
      <w:r>
        <w:t xml:space="preserve">Lack of teaching over past 18 months in Y7-10 </w:t>
      </w:r>
      <w:r w:rsidR="00A15174">
        <w:t xml:space="preserve">raises concerns about foundational understanding </w:t>
      </w:r>
      <w:r w:rsidR="00370942">
        <w:t xml:space="preserve">of Catholic Christianity </w:t>
      </w:r>
      <w:r w:rsidR="00A15174">
        <w:t xml:space="preserve">being less than in previous years, quite possibly in </w:t>
      </w:r>
      <w:r w:rsidR="002820B0">
        <w:t>unidentified ways.</w:t>
      </w:r>
    </w:p>
    <w:p w14:paraId="79BCBC6E" w14:textId="77777777" w:rsidR="002820B0" w:rsidRDefault="002820B0" w:rsidP="00E7189E">
      <w:pPr>
        <w:pStyle w:val="ListParagraph"/>
        <w:numPr>
          <w:ilvl w:val="0"/>
          <w:numId w:val="13"/>
        </w:numPr>
        <w:jc w:val="both"/>
      </w:pPr>
      <w:r>
        <w:t>Positively, nature and level of teacher collaboration could lead to improved exam board marking by teachers in future years.</w:t>
      </w:r>
    </w:p>
    <w:p w14:paraId="6D540082" w14:textId="4DAA29A5" w:rsidR="000B3B72" w:rsidRDefault="002820B0" w:rsidP="004220DF">
      <w:pPr>
        <w:pStyle w:val="ListParagraph"/>
        <w:numPr>
          <w:ilvl w:val="0"/>
          <w:numId w:val="13"/>
        </w:numPr>
        <w:jc w:val="both"/>
      </w:pPr>
      <w:r>
        <w:t>Given all the work that teachers have done, exam fees need to be reduced.</w:t>
      </w:r>
      <w:r w:rsidR="00A15174">
        <w:t xml:space="preserve"> </w:t>
      </w:r>
    </w:p>
    <w:p w14:paraId="553F0203" w14:textId="140C8AC4" w:rsidR="000B3B72" w:rsidRDefault="000B3B72" w:rsidP="002820B0">
      <w:pPr>
        <w:jc w:val="both"/>
        <w:rPr>
          <w:b/>
        </w:rPr>
      </w:pPr>
      <w:r w:rsidRPr="002820B0">
        <w:rPr>
          <w:b/>
        </w:rPr>
        <w:t>Catholic Schools Inspectorate</w:t>
      </w:r>
    </w:p>
    <w:p w14:paraId="4034434A" w14:textId="416C88E7" w:rsidR="002820B0" w:rsidRDefault="002820B0" w:rsidP="002820B0">
      <w:pPr>
        <w:jc w:val="both"/>
      </w:pPr>
      <w:r>
        <w:t>PR provided an up-date</w:t>
      </w:r>
    </w:p>
    <w:p w14:paraId="7BCCD1D1" w14:textId="7C193BF0" w:rsidR="002820B0" w:rsidRDefault="002820B0" w:rsidP="002820B0">
      <w:pPr>
        <w:pStyle w:val="ListParagraph"/>
        <w:numPr>
          <w:ilvl w:val="0"/>
          <w:numId w:val="14"/>
        </w:numPr>
        <w:jc w:val="both"/>
      </w:pPr>
      <w:r>
        <w:t>CSI training commences 30 June 2021, with priority given to diocesan officers and those few inspectors who will undertake pilot inspections in 2021/22.</w:t>
      </w:r>
    </w:p>
    <w:p w14:paraId="6F1D6D6E" w14:textId="6EB679F0" w:rsidR="002820B0" w:rsidRDefault="002820B0" w:rsidP="002820B0">
      <w:pPr>
        <w:pStyle w:val="ListParagraph"/>
        <w:numPr>
          <w:ilvl w:val="0"/>
          <w:numId w:val="14"/>
        </w:numPr>
        <w:jc w:val="both"/>
      </w:pPr>
      <w:r>
        <w:lastRenderedPageBreak/>
        <w:t>CSI training is itself a pilot, with evaluation feedback welcome</w:t>
      </w:r>
    </w:p>
    <w:p w14:paraId="2D2740B1" w14:textId="2A06F1CB" w:rsidR="002820B0" w:rsidRDefault="002820B0" w:rsidP="002820B0">
      <w:pPr>
        <w:pStyle w:val="ListParagraph"/>
        <w:numPr>
          <w:ilvl w:val="0"/>
          <w:numId w:val="14"/>
        </w:numPr>
        <w:jc w:val="both"/>
      </w:pPr>
      <w:r>
        <w:t>Recruitment of inspectors for the new CSI has begun I many dioceses</w:t>
      </w:r>
    </w:p>
    <w:p w14:paraId="6776D1FC" w14:textId="4016ACBA" w:rsidR="002820B0" w:rsidRDefault="002820B0" w:rsidP="002820B0">
      <w:pPr>
        <w:pStyle w:val="ListParagraph"/>
        <w:numPr>
          <w:ilvl w:val="0"/>
          <w:numId w:val="14"/>
        </w:numPr>
        <w:jc w:val="both"/>
      </w:pPr>
      <w:r>
        <w:t>CSI Handbook [on recruitment and training] should be with dioceses this week</w:t>
      </w:r>
    </w:p>
    <w:p w14:paraId="44CE58A7" w14:textId="27AE9D9A" w:rsidR="002820B0" w:rsidRDefault="002820B0" w:rsidP="002820B0">
      <w:pPr>
        <w:pStyle w:val="ListParagraph"/>
        <w:numPr>
          <w:ilvl w:val="0"/>
          <w:numId w:val="14"/>
        </w:numPr>
        <w:jc w:val="both"/>
      </w:pPr>
      <w:r>
        <w:t>CSI Quality Assurance handbook should be circulated to dioceses before the summer for comment.</w:t>
      </w:r>
    </w:p>
    <w:p w14:paraId="70E0F103" w14:textId="2CF26BB7" w:rsidR="002820B0" w:rsidRDefault="002820B0" w:rsidP="002820B0">
      <w:pPr>
        <w:pStyle w:val="ListParagraph"/>
        <w:numPr>
          <w:ilvl w:val="0"/>
          <w:numId w:val="14"/>
        </w:numPr>
        <w:jc w:val="both"/>
      </w:pPr>
      <w:r>
        <w:t>CSI 2021/22 pilot inspections will start in January 2022</w:t>
      </w:r>
    </w:p>
    <w:p w14:paraId="6B1B0C11" w14:textId="53899E18" w:rsidR="00715427" w:rsidRDefault="00715427" w:rsidP="00715427">
      <w:pPr>
        <w:pStyle w:val="ListParagraph"/>
        <w:numPr>
          <w:ilvl w:val="1"/>
          <w:numId w:val="14"/>
        </w:numPr>
        <w:jc w:val="both"/>
      </w:pPr>
      <w:r>
        <w:t>Dioceses are submitting names of possible schools</w:t>
      </w:r>
    </w:p>
    <w:p w14:paraId="6182E61E" w14:textId="1BDE101E" w:rsidR="00715427" w:rsidRDefault="00715427" w:rsidP="00715427">
      <w:pPr>
        <w:pStyle w:val="ListParagraph"/>
        <w:numPr>
          <w:ilvl w:val="1"/>
          <w:numId w:val="14"/>
        </w:numPr>
        <w:jc w:val="both"/>
      </w:pPr>
      <w:r>
        <w:t>CSI will select schools to provide good representative evidential base</w:t>
      </w:r>
    </w:p>
    <w:p w14:paraId="311D1DE0" w14:textId="54D2CC1D" w:rsidR="00715427" w:rsidRDefault="00715427" w:rsidP="00715427">
      <w:pPr>
        <w:jc w:val="both"/>
      </w:pPr>
      <w:r>
        <w:t>Currently denominational inspections are ‘paused’. Resumption awaits formal lifting of the ‘disapplication’. It is anticipated that there may be an initial 8 year window in which to complete a complete cycle of inspections with DfE wanting priority given for schools due to have been inspected in 2019/20.</w:t>
      </w:r>
    </w:p>
    <w:p w14:paraId="35ED5A5D" w14:textId="6DB075DA" w:rsidR="00715427" w:rsidRDefault="00715427" w:rsidP="00715427">
      <w:pPr>
        <w:jc w:val="both"/>
      </w:pPr>
    </w:p>
    <w:p w14:paraId="25A624C2" w14:textId="0204265A" w:rsidR="00715427" w:rsidRDefault="00715427" w:rsidP="00715427">
      <w:pPr>
        <w:jc w:val="both"/>
        <w:rPr>
          <w:b/>
        </w:rPr>
      </w:pPr>
      <w:r>
        <w:rPr>
          <w:b/>
        </w:rPr>
        <w:t>RECD</w:t>
      </w:r>
    </w:p>
    <w:p w14:paraId="743FF15B" w14:textId="3DE68767" w:rsidR="00715427" w:rsidRDefault="00715427" w:rsidP="00715427">
      <w:pPr>
        <w:jc w:val="both"/>
      </w:pPr>
      <w:r>
        <w:t>PR provided a brief update, noting that many at the meeting were involved in different ways with the work.</w:t>
      </w:r>
    </w:p>
    <w:p w14:paraId="4FE550E2" w14:textId="631ECCCA" w:rsidR="00715427" w:rsidRDefault="00715427" w:rsidP="00715427">
      <w:pPr>
        <w:jc w:val="both"/>
      </w:pPr>
      <w:r>
        <w:t xml:space="preserve">Primary and Secondary working parties meet weekly </w:t>
      </w:r>
      <w:r w:rsidR="003B5950">
        <w:t>with periodic plenary meetings.</w:t>
      </w:r>
    </w:p>
    <w:p w14:paraId="6958F882" w14:textId="77777777" w:rsidR="003B5950" w:rsidRDefault="003B5950" w:rsidP="00715427">
      <w:pPr>
        <w:jc w:val="both"/>
      </w:pPr>
      <w:r>
        <w:t>Aim is for a Draft early next academic year: to Department meeting in October.</w:t>
      </w:r>
    </w:p>
    <w:p w14:paraId="7333EF44" w14:textId="77777777" w:rsidR="003B5950" w:rsidRDefault="003B5950" w:rsidP="00715427">
      <w:pPr>
        <w:jc w:val="both"/>
      </w:pPr>
      <w:r>
        <w:t>This will constitute part 2 of the RECD which it is envisaged will be published as a Department document.</w:t>
      </w:r>
    </w:p>
    <w:p w14:paraId="72C0B346" w14:textId="77777777" w:rsidR="003B5950" w:rsidRDefault="003B5950" w:rsidP="00715427">
      <w:pPr>
        <w:jc w:val="both"/>
      </w:pPr>
      <w:r>
        <w:t>Part 1 of the RECD will contain Church teaching and context for the content in Part 2.</w:t>
      </w:r>
    </w:p>
    <w:p w14:paraId="371DBCA8" w14:textId="77777777" w:rsidR="004A0D92" w:rsidRDefault="003B5950" w:rsidP="00715427">
      <w:pPr>
        <w:jc w:val="both"/>
      </w:pPr>
      <w:r>
        <w:t xml:space="preserve">PR will draw on </w:t>
      </w:r>
      <w:r w:rsidR="004A0D92">
        <w:t xml:space="preserve">(synthesise) </w:t>
      </w:r>
      <w:r>
        <w:t xml:space="preserve">two </w:t>
      </w:r>
      <w:r w:rsidR="004A0D92">
        <w:t>contributions to produce a Draft Part 1 that will be presented to the Bishops in September for discussion and development.</w:t>
      </w:r>
    </w:p>
    <w:p w14:paraId="511E038B" w14:textId="77777777" w:rsidR="004A0D92" w:rsidRDefault="004A0D92" w:rsidP="00715427">
      <w:pPr>
        <w:jc w:val="both"/>
      </w:pPr>
      <w:r>
        <w:t>Aim is to publish the complete RECD, parts 1 and 2, in summer 2022.</w:t>
      </w:r>
    </w:p>
    <w:p w14:paraId="7078D1B3" w14:textId="77777777" w:rsidR="004A0D92" w:rsidRDefault="004A0D92" w:rsidP="00715427">
      <w:pPr>
        <w:jc w:val="both"/>
      </w:pPr>
      <w:r>
        <w:t>PR thanked the members of NBRIA for their support in developing the RECD.</w:t>
      </w:r>
    </w:p>
    <w:p w14:paraId="24BB6516" w14:textId="77777777" w:rsidR="004A0D92" w:rsidRDefault="004A0D92" w:rsidP="00715427">
      <w:pPr>
        <w:jc w:val="both"/>
      </w:pPr>
      <w:r>
        <w:t>PM recorded that NBRIA appreciated the collaborative approach of the CES.</w:t>
      </w:r>
    </w:p>
    <w:p w14:paraId="5FCE6B79" w14:textId="77777777" w:rsidR="004A0D92" w:rsidRDefault="004A0D92" w:rsidP="00715427">
      <w:pPr>
        <w:jc w:val="both"/>
      </w:pPr>
    </w:p>
    <w:p w14:paraId="760D7BD5" w14:textId="77777777" w:rsidR="004A0D92" w:rsidRDefault="004A0D92" w:rsidP="00715427">
      <w:pPr>
        <w:jc w:val="both"/>
        <w:rPr>
          <w:b/>
        </w:rPr>
      </w:pPr>
      <w:r>
        <w:rPr>
          <w:b/>
        </w:rPr>
        <w:t>Religious Education Council: RE Policy Unit</w:t>
      </w:r>
    </w:p>
    <w:p w14:paraId="7C8E6EC1" w14:textId="77777777" w:rsidR="004A0D92" w:rsidRDefault="004A0D92" w:rsidP="00715427">
      <w:pPr>
        <w:jc w:val="both"/>
      </w:pPr>
      <w:r>
        <w:t>PW described two principal areas of activity:</w:t>
      </w:r>
    </w:p>
    <w:p w14:paraId="2FA358AC" w14:textId="2154E387" w:rsidR="003B5950" w:rsidRDefault="004A0D92" w:rsidP="00715427">
      <w:pPr>
        <w:jc w:val="both"/>
      </w:pPr>
      <w:r>
        <w:tab/>
        <w:t xml:space="preserve">Teacher recruitment and retention </w:t>
      </w:r>
      <w:r w:rsidR="003B5950">
        <w:t xml:space="preserve"> </w:t>
      </w:r>
    </w:p>
    <w:p w14:paraId="06A85B71" w14:textId="77777777" w:rsidR="00D62B91" w:rsidRDefault="004A0D92" w:rsidP="00715427">
      <w:pPr>
        <w:jc w:val="both"/>
      </w:pPr>
      <w:r>
        <w:tab/>
        <w:t>Parliamentary Questions – which were beginning to elicit more informative responses</w:t>
      </w:r>
      <w:r w:rsidR="00D62B91">
        <w:t xml:space="preserve">, </w:t>
      </w:r>
    </w:p>
    <w:p w14:paraId="50A96E0F" w14:textId="03C8B3A1" w:rsidR="004A0D92" w:rsidRPr="00715427" w:rsidRDefault="00D62B91" w:rsidP="00D62B91">
      <w:pPr>
        <w:ind w:left="360" w:firstLine="720"/>
        <w:jc w:val="both"/>
      </w:pPr>
      <w:r>
        <w:t>and perhaps greater engagement,</w:t>
      </w:r>
      <w:r w:rsidR="004A0D92">
        <w:t xml:space="preserve"> from Ministers </w:t>
      </w:r>
      <w:r>
        <w:t>on Religious Education</w:t>
      </w:r>
    </w:p>
    <w:p w14:paraId="7D2B082B" w14:textId="76E54A89" w:rsidR="002820B0" w:rsidRDefault="002820B0" w:rsidP="002820B0">
      <w:pPr>
        <w:jc w:val="both"/>
        <w:rPr>
          <w:b/>
        </w:rPr>
      </w:pPr>
    </w:p>
    <w:p w14:paraId="3667F0EA" w14:textId="563941BC" w:rsidR="00D62B91" w:rsidRDefault="00D62B91" w:rsidP="00D62B91">
      <w:pPr>
        <w:jc w:val="both"/>
        <w:rPr>
          <w:b/>
        </w:rPr>
      </w:pPr>
      <w:r>
        <w:rPr>
          <w:b/>
        </w:rPr>
        <w:t>Religious Education Council Board</w:t>
      </w:r>
    </w:p>
    <w:p w14:paraId="6D9BB93D" w14:textId="4FD94873" w:rsidR="00D62B91" w:rsidRDefault="00D62B91" w:rsidP="00D62B91">
      <w:pPr>
        <w:jc w:val="both"/>
      </w:pPr>
      <w:r>
        <w:t>PR reported that the emphasis was on promoting the ‘worldviews’ approach of the Commission on Religious Education</w:t>
      </w:r>
      <w:r w:rsidR="00B24181">
        <w:t xml:space="preserve"> and remarked that the worldviews paradigm had echoes of Newman’s attention to ‘what people believe and why they believe it’.</w:t>
      </w:r>
      <w:r>
        <w:t xml:space="preserve"> He noted that </w:t>
      </w:r>
      <w:r w:rsidR="00B24181">
        <w:t xml:space="preserve">the CES had been invited to contribute to </w:t>
      </w:r>
      <w:r>
        <w:t>a resource project</w:t>
      </w:r>
      <w:r w:rsidR="00B24181">
        <w:t xml:space="preserve"> on this topic.</w:t>
      </w:r>
      <w:r>
        <w:t>.</w:t>
      </w:r>
    </w:p>
    <w:p w14:paraId="723825D3" w14:textId="6F0FFE18" w:rsidR="00E06207" w:rsidRDefault="00E06207" w:rsidP="00D62B91">
      <w:pPr>
        <w:jc w:val="both"/>
      </w:pPr>
    </w:p>
    <w:p w14:paraId="5393D508" w14:textId="669B84DD" w:rsidR="00E06207" w:rsidRDefault="00E06207" w:rsidP="00D62B91">
      <w:pPr>
        <w:jc w:val="both"/>
        <w:rPr>
          <w:b/>
        </w:rPr>
      </w:pPr>
      <w:proofErr w:type="spellStart"/>
      <w:r>
        <w:rPr>
          <w:b/>
        </w:rPr>
        <w:t>AoB</w:t>
      </w:r>
      <w:proofErr w:type="spellEnd"/>
    </w:p>
    <w:p w14:paraId="7744FD34" w14:textId="4DDE7CDE" w:rsidR="00E06207" w:rsidRDefault="00E06207" w:rsidP="00D62B91">
      <w:pPr>
        <w:jc w:val="both"/>
      </w:pPr>
      <w:r>
        <w:t xml:space="preserve">1 PW reported that the DfE had published an unexpected document entitled </w:t>
      </w:r>
      <w:r>
        <w:rPr>
          <w:b/>
        </w:rPr>
        <w:t>Delivering World-class Teacher Development</w:t>
      </w:r>
      <w:r>
        <w:t xml:space="preserve"> on 7 June 2021. It contains some areas of concern that had been considered at a recent meeting of the APPG for the Teaching Profession. A related </w:t>
      </w:r>
      <w:r w:rsidR="00E73F7F">
        <w:t xml:space="preserve">6-week </w:t>
      </w:r>
      <w:r w:rsidRPr="00E73F7F">
        <w:rPr>
          <w:u w:val="single"/>
        </w:rPr>
        <w:t>DfE consultation</w:t>
      </w:r>
      <w:r>
        <w:t xml:space="preserve"> </w:t>
      </w:r>
      <w:r w:rsidR="00E73F7F">
        <w:t xml:space="preserve">on related matters is expected to be published </w:t>
      </w:r>
      <w:r w:rsidR="00E73F7F" w:rsidRPr="00E73F7F">
        <w:rPr>
          <w:u w:val="single"/>
        </w:rPr>
        <w:t>about 12 July 2021</w:t>
      </w:r>
      <w:r w:rsidR="00E73F7F">
        <w:t xml:space="preserve">. </w:t>
      </w:r>
    </w:p>
    <w:p w14:paraId="7DCEFA85" w14:textId="77777777" w:rsidR="00E06207" w:rsidRDefault="00E06207" w:rsidP="00B24181">
      <w:pPr>
        <w:jc w:val="both"/>
      </w:pPr>
    </w:p>
    <w:p w14:paraId="69C44E1C" w14:textId="77777777" w:rsidR="00A644B6" w:rsidRPr="00E73F7F" w:rsidRDefault="00A644B6" w:rsidP="00E73F7F">
      <w:pPr>
        <w:jc w:val="both"/>
        <w:rPr>
          <w:b/>
        </w:rPr>
      </w:pPr>
      <w:r w:rsidRPr="00E73F7F">
        <w:rPr>
          <w:b/>
        </w:rPr>
        <w:t>Dates of next meetings:</w:t>
      </w:r>
    </w:p>
    <w:p w14:paraId="2AF57A97" w14:textId="77777777" w:rsidR="00A644B6" w:rsidRDefault="00A644B6" w:rsidP="00A644B6">
      <w:pPr>
        <w:pStyle w:val="ListParagraph"/>
        <w:numPr>
          <w:ilvl w:val="0"/>
          <w:numId w:val="9"/>
        </w:numPr>
        <w:jc w:val="both"/>
      </w:pPr>
      <w:r>
        <w:t>Thursday 23 September – Online from 10.00</w:t>
      </w:r>
    </w:p>
    <w:p w14:paraId="266CB458" w14:textId="55F6BBF5" w:rsidR="00A644B6" w:rsidRDefault="00A644B6" w:rsidP="00A644B6">
      <w:pPr>
        <w:pStyle w:val="ListParagraph"/>
        <w:numPr>
          <w:ilvl w:val="0"/>
          <w:numId w:val="9"/>
        </w:numPr>
        <w:jc w:val="both"/>
      </w:pPr>
      <w:r>
        <w:lastRenderedPageBreak/>
        <w:t>Tuesday 18 January 2022 – London Venue from 11.00</w:t>
      </w:r>
      <w:r w:rsidR="00E73F7F">
        <w:t xml:space="preserve"> </w:t>
      </w:r>
      <w:r w:rsidR="00E73F7F">
        <w:rPr>
          <w:i/>
        </w:rPr>
        <w:t xml:space="preserve">or </w:t>
      </w:r>
      <w:r w:rsidR="00E73F7F">
        <w:t>on-line from 1000</w:t>
      </w:r>
    </w:p>
    <w:p w14:paraId="1B9C441A" w14:textId="45CADAFF" w:rsidR="00A644B6" w:rsidRDefault="00A644B6" w:rsidP="00A644B6">
      <w:pPr>
        <w:pStyle w:val="ListParagraph"/>
        <w:numPr>
          <w:ilvl w:val="0"/>
          <w:numId w:val="9"/>
        </w:numPr>
        <w:jc w:val="both"/>
      </w:pPr>
      <w:r>
        <w:t>Summer Conference –</w:t>
      </w:r>
      <w:r w:rsidR="00E73F7F">
        <w:t xml:space="preserve"> possible dates for </w:t>
      </w:r>
      <w:proofErr w:type="spellStart"/>
      <w:r>
        <w:t>Hinsley</w:t>
      </w:r>
      <w:proofErr w:type="spellEnd"/>
      <w:r>
        <w:t xml:space="preserve"> Hall</w:t>
      </w:r>
      <w:r w:rsidR="00E73F7F">
        <w:t xml:space="preserve"> were</w:t>
      </w:r>
    </w:p>
    <w:p w14:paraId="124053A3" w14:textId="668D70C5" w:rsidR="00E73F7F" w:rsidRDefault="00E73F7F" w:rsidP="00E73F7F">
      <w:pPr>
        <w:pStyle w:val="ListParagraph"/>
        <w:numPr>
          <w:ilvl w:val="1"/>
          <w:numId w:val="9"/>
        </w:numPr>
        <w:jc w:val="both"/>
      </w:pPr>
      <w:r>
        <w:t>Tue/Wed 10/11 May 2022</w:t>
      </w:r>
    </w:p>
    <w:p w14:paraId="7132AD3A" w14:textId="5479957C" w:rsidR="00E73F7F" w:rsidRDefault="00E73F7F" w:rsidP="00E73F7F">
      <w:pPr>
        <w:pStyle w:val="ListParagraph"/>
        <w:numPr>
          <w:ilvl w:val="1"/>
          <w:numId w:val="9"/>
        </w:numPr>
        <w:jc w:val="both"/>
      </w:pPr>
      <w:r>
        <w:t>Wed/</w:t>
      </w:r>
      <w:proofErr w:type="spellStart"/>
      <w:r>
        <w:t>Thur</w:t>
      </w:r>
      <w:proofErr w:type="spellEnd"/>
      <w:r>
        <w:t xml:space="preserve"> 11/12 May</w:t>
      </w:r>
    </w:p>
    <w:p w14:paraId="576885FF" w14:textId="1B162000" w:rsidR="00E73F7F" w:rsidRDefault="00E73F7F" w:rsidP="00E73F7F">
      <w:pPr>
        <w:pStyle w:val="ListParagraph"/>
        <w:numPr>
          <w:ilvl w:val="1"/>
          <w:numId w:val="9"/>
        </w:numPr>
        <w:jc w:val="both"/>
      </w:pPr>
      <w:r>
        <w:t>Tue/Wed 17/18 May</w:t>
      </w:r>
    </w:p>
    <w:p w14:paraId="3AD652BA" w14:textId="1D0D3A2D" w:rsidR="00B24181" w:rsidRDefault="00B24181" w:rsidP="00B24181">
      <w:pPr>
        <w:jc w:val="both"/>
      </w:pPr>
    </w:p>
    <w:p w14:paraId="1F7D8A7F" w14:textId="35C58F96" w:rsidR="00B24181" w:rsidRPr="00B24181" w:rsidRDefault="00B24181" w:rsidP="00B24181">
      <w:pPr>
        <w:jc w:val="both"/>
        <w:rPr>
          <w:i/>
        </w:rPr>
      </w:pPr>
      <w:r>
        <w:rPr>
          <w:i/>
        </w:rPr>
        <w:t xml:space="preserve">Subsequent to the meeting the </w:t>
      </w:r>
      <w:r w:rsidR="006C2755">
        <w:rPr>
          <w:i/>
        </w:rPr>
        <w:t xml:space="preserve">most likely </w:t>
      </w:r>
      <w:r>
        <w:rPr>
          <w:i/>
        </w:rPr>
        <w:t xml:space="preserve">date was </w:t>
      </w:r>
      <w:r w:rsidR="006C2755">
        <w:rPr>
          <w:i/>
        </w:rPr>
        <w:t>10/11 May 2022.</w:t>
      </w:r>
      <w:r>
        <w:rPr>
          <w:i/>
        </w:rPr>
        <w:t xml:space="preserve"> </w:t>
      </w:r>
    </w:p>
    <w:p w14:paraId="31F70584" w14:textId="77777777" w:rsidR="00A644B6" w:rsidRDefault="00A644B6" w:rsidP="00A644B6">
      <w:pPr>
        <w:pStyle w:val="ListParagraph"/>
        <w:jc w:val="both"/>
      </w:pPr>
    </w:p>
    <w:p w14:paraId="68BEF360" w14:textId="759593FF" w:rsidR="000B3B72" w:rsidRDefault="000B3B72" w:rsidP="004220DF">
      <w:pPr>
        <w:jc w:val="both"/>
      </w:pPr>
    </w:p>
    <w:p w14:paraId="065B905B" w14:textId="0FBE4C4E" w:rsidR="00E73F7F" w:rsidRDefault="00E73F7F" w:rsidP="004220DF">
      <w:pPr>
        <w:jc w:val="both"/>
      </w:pPr>
      <w:r>
        <w:t>The meeting closed with a Blessing from Fr Des</w:t>
      </w:r>
    </w:p>
    <w:p w14:paraId="57568128" w14:textId="77777777" w:rsidR="00A644B6" w:rsidRDefault="00A644B6" w:rsidP="000B3B72">
      <w:pPr>
        <w:jc w:val="both"/>
      </w:pPr>
    </w:p>
    <w:p w14:paraId="2563B24F" w14:textId="7CBC47CE" w:rsidR="000B3B72" w:rsidRDefault="000B3B72" w:rsidP="004220DF">
      <w:pPr>
        <w:jc w:val="both"/>
      </w:pPr>
    </w:p>
    <w:p w14:paraId="5AF12EC1" w14:textId="77777777" w:rsidR="000B3B72" w:rsidRPr="000B3B72" w:rsidRDefault="000B3B72" w:rsidP="004220DF">
      <w:pPr>
        <w:jc w:val="both"/>
      </w:pPr>
    </w:p>
    <w:p w14:paraId="37C98E93" w14:textId="77777777" w:rsidR="00A344F7" w:rsidRDefault="00A344F7" w:rsidP="004220DF">
      <w:pPr>
        <w:jc w:val="both"/>
        <w:rPr>
          <w:b/>
          <w:bCs/>
        </w:rPr>
      </w:pPr>
    </w:p>
    <w:p w14:paraId="5FBA4BBB" w14:textId="49D87642" w:rsidR="008E1BA8" w:rsidRPr="00A344F7" w:rsidRDefault="008E1BA8" w:rsidP="004220DF">
      <w:pPr>
        <w:jc w:val="both"/>
        <w:rPr>
          <w:i/>
          <w:iCs/>
        </w:rPr>
      </w:pPr>
    </w:p>
    <w:sectPr w:rsidR="008E1BA8" w:rsidRPr="00A344F7" w:rsidSect="00220F0F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A661E" w14:textId="77777777" w:rsidR="00A5622A" w:rsidRDefault="00A5622A" w:rsidP="00BA42E5">
      <w:r>
        <w:separator/>
      </w:r>
    </w:p>
  </w:endnote>
  <w:endnote w:type="continuationSeparator" w:id="0">
    <w:p w14:paraId="458206B5" w14:textId="77777777" w:rsidR="00A5622A" w:rsidRDefault="00A5622A" w:rsidP="00BA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66908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C5EA8D" w14:textId="7B097262" w:rsidR="00BA42E5" w:rsidRDefault="00BA42E5" w:rsidP="00B15C8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3747B0" w14:textId="77777777" w:rsidR="00BA42E5" w:rsidRDefault="00BA42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01354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5EB2D2" w14:textId="0747E760" w:rsidR="00BA42E5" w:rsidRDefault="00BA42E5" w:rsidP="00B15C8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CF0CFC0" w14:textId="77777777" w:rsidR="00BA42E5" w:rsidRDefault="00BA4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4E998" w14:textId="77777777" w:rsidR="00A5622A" w:rsidRDefault="00A5622A" w:rsidP="00BA42E5">
      <w:r>
        <w:separator/>
      </w:r>
    </w:p>
  </w:footnote>
  <w:footnote w:type="continuationSeparator" w:id="0">
    <w:p w14:paraId="62DCB0D6" w14:textId="77777777" w:rsidR="00A5622A" w:rsidRDefault="00A5622A" w:rsidP="00BA4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04029"/>
    <w:multiLevelType w:val="hybridMultilevel"/>
    <w:tmpl w:val="6A98B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1262"/>
    <w:multiLevelType w:val="hybridMultilevel"/>
    <w:tmpl w:val="CDD03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A296D"/>
    <w:multiLevelType w:val="hybridMultilevel"/>
    <w:tmpl w:val="DD548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63F4D"/>
    <w:multiLevelType w:val="hybridMultilevel"/>
    <w:tmpl w:val="6A44498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FE0871"/>
    <w:multiLevelType w:val="hybridMultilevel"/>
    <w:tmpl w:val="00FADCBA"/>
    <w:lvl w:ilvl="0" w:tplc="83D4016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1EFE"/>
    <w:multiLevelType w:val="hybridMultilevel"/>
    <w:tmpl w:val="3D1A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C1336"/>
    <w:multiLevelType w:val="hybridMultilevel"/>
    <w:tmpl w:val="CA5CC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87B49"/>
    <w:multiLevelType w:val="hybridMultilevel"/>
    <w:tmpl w:val="CCE88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D0061"/>
    <w:multiLevelType w:val="hybridMultilevel"/>
    <w:tmpl w:val="619064AA"/>
    <w:lvl w:ilvl="0" w:tplc="DDC0BF9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E1BA5"/>
    <w:multiLevelType w:val="hybridMultilevel"/>
    <w:tmpl w:val="836C2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C4D43"/>
    <w:multiLevelType w:val="hybridMultilevel"/>
    <w:tmpl w:val="890CF224"/>
    <w:lvl w:ilvl="0" w:tplc="DDC0BF9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6339B"/>
    <w:multiLevelType w:val="hybridMultilevel"/>
    <w:tmpl w:val="ECFE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96776"/>
    <w:multiLevelType w:val="hybridMultilevel"/>
    <w:tmpl w:val="DEE0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269D6"/>
    <w:multiLevelType w:val="hybridMultilevel"/>
    <w:tmpl w:val="FC0CFC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11"/>
  </w:num>
  <w:num w:numId="11">
    <w:abstractNumId w:val="5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D1"/>
    <w:rsid w:val="000028EA"/>
    <w:rsid w:val="00013AC7"/>
    <w:rsid w:val="00044598"/>
    <w:rsid w:val="00046410"/>
    <w:rsid w:val="00060AC4"/>
    <w:rsid w:val="00063EAF"/>
    <w:rsid w:val="00082756"/>
    <w:rsid w:val="000B3B72"/>
    <w:rsid w:val="000D4E69"/>
    <w:rsid w:val="000E6486"/>
    <w:rsid w:val="000F7EB2"/>
    <w:rsid w:val="0011107E"/>
    <w:rsid w:val="00117740"/>
    <w:rsid w:val="00151274"/>
    <w:rsid w:val="00174424"/>
    <w:rsid w:val="001A1688"/>
    <w:rsid w:val="001A1D09"/>
    <w:rsid w:val="001B08A0"/>
    <w:rsid w:val="00220F0F"/>
    <w:rsid w:val="002820B0"/>
    <w:rsid w:val="00285D7F"/>
    <w:rsid w:val="00286B7C"/>
    <w:rsid w:val="00295B0F"/>
    <w:rsid w:val="002B3BD0"/>
    <w:rsid w:val="002E3A1E"/>
    <w:rsid w:val="002F09E3"/>
    <w:rsid w:val="00306364"/>
    <w:rsid w:val="0031436A"/>
    <w:rsid w:val="0033328C"/>
    <w:rsid w:val="00370942"/>
    <w:rsid w:val="0038001B"/>
    <w:rsid w:val="0038199D"/>
    <w:rsid w:val="0038516E"/>
    <w:rsid w:val="003B3E94"/>
    <w:rsid w:val="003B5950"/>
    <w:rsid w:val="004220DF"/>
    <w:rsid w:val="00422D67"/>
    <w:rsid w:val="004713B9"/>
    <w:rsid w:val="00477C5D"/>
    <w:rsid w:val="004859F5"/>
    <w:rsid w:val="004A0D92"/>
    <w:rsid w:val="004D02C7"/>
    <w:rsid w:val="00526780"/>
    <w:rsid w:val="00540FC5"/>
    <w:rsid w:val="005A0464"/>
    <w:rsid w:val="005B3697"/>
    <w:rsid w:val="005B6720"/>
    <w:rsid w:val="005D2EB9"/>
    <w:rsid w:val="005D37BD"/>
    <w:rsid w:val="00605112"/>
    <w:rsid w:val="006263F3"/>
    <w:rsid w:val="00647A6E"/>
    <w:rsid w:val="0065269A"/>
    <w:rsid w:val="00684752"/>
    <w:rsid w:val="006A6F16"/>
    <w:rsid w:val="006C2755"/>
    <w:rsid w:val="006C45B0"/>
    <w:rsid w:val="007005DB"/>
    <w:rsid w:val="00715427"/>
    <w:rsid w:val="00750067"/>
    <w:rsid w:val="007A0467"/>
    <w:rsid w:val="007A054A"/>
    <w:rsid w:val="007A3828"/>
    <w:rsid w:val="007B03B2"/>
    <w:rsid w:val="007C5265"/>
    <w:rsid w:val="007C70D1"/>
    <w:rsid w:val="007E28C1"/>
    <w:rsid w:val="007E75D1"/>
    <w:rsid w:val="008118A5"/>
    <w:rsid w:val="008249BC"/>
    <w:rsid w:val="008633BC"/>
    <w:rsid w:val="00887847"/>
    <w:rsid w:val="008A36E7"/>
    <w:rsid w:val="008E1BA8"/>
    <w:rsid w:val="008F0930"/>
    <w:rsid w:val="0090090E"/>
    <w:rsid w:val="0090106E"/>
    <w:rsid w:val="00957737"/>
    <w:rsid w:val="00965926"/>
    <w:rsid w:val="009918D8"/>
    <w:rsid w:val="00A15174"/>
    <w:rsid w:val="00A23647"/>
    <w:rsid w:val="00A344F7"/>
    <w:rsid w:val="00A51E80"/>
    <w:rsid w:val="00A53DC4"/>
    <w:rsid w:val="00A5622A"/>
    <w:rsid w:val="00A644B6"/>
    <w:rsid w:val="00A72E7D"/>
    <w:rsid w:val="00B01F88"/>
    <w:rsid w:val="00B2123E"/>
    <w:rsid w:val="00B24181"/>
    <w:rsid w:val="00B545CD"/>
    <w:rsid w:val="00B57406"/>
    <w:rsid w:val="00BA074F"/>
    <w:rsid w:val="00BA2845"/>
    <w:rsid w:val="00BA42E5"/>
    <w:rsid w:val="00BD09B9"/>
    <w:rsid w:val="00BD63AE"/>
    <w:rsid w:val="00BE6A25"/>
    <w:rsid w:val="00C02407"/>
    <w:rsid w:val="00C06E14"/>
    <w:rsid w:val="00C11BDB"/>
    <w:rsid w:val="00C35B9C"/>
    <w:rsid w:val="00CE41AB"/>
    <w:rsid w:val="00CF1254"/>
    <w:rsid w:val="00CF445A"/>
    <w:rsid w:val="00D13999"/>
    <w:rsid w:val="00D429E9"/>
    <w:rsid w:val="00D62B91"/>
    <w:rsid w:val="00D6740F"/>
    <w:rsid w:val="00DC1146"/>
    <w:rsid w:val="00DD0207"/>
    <w:rsid w:val="00DD76BC"/>
    <w:rsid w:val="00E06207"/>
    <w:rsid w:val="00E06A52"/>
    <w:rsid w:val="00E12B9A"/>
    <w:rsid w:val="00E12C85"/>
    <w:rsid w:val="00E32275"/>
    <w:rsid w:val="00E40A08"/>
    <w:rsid w:val="00E51B66"/>
    <w:rsid w:val="00E7189E"/>
    <w:rsid w:val="00E73F7F"/>
    <w:rsid w:val="00E75C94"/>
    <w:rsid w:val="00EB2145"/>
    <w:rsid w:val="00EB378F"/>
    <w:rsid w:val="00EE0113"/>
    <w:rsid w:val="00F10800"/>
    <w:rsid w:val="00F2127D"/>
    <w:rsid w:val="00F26F14"/>
    <w:rsid w:val="00F52A8A"/>
    <w:rsid w:val="00F619ED"/>
    <w:rsid w:val="00F636F1"/>
    <w:rsid w:val="00F715CC"/>
    <w:rsid w:val="00F949F5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AAC11"/>
  <w14:defaultImageDpi w14:val="32767"/>
  <w15:chartTrackingRefBased/>
  <w15:docId w15:val="{3908CFB0-CC64-6346-89B6-45F1B10E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E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44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344F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A42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2E5"/>
  </w:style>
  <w:style w:type="character" w:styleId="PageNumber">
    <w:name w:val="page number"/>
    <w:basedOn w:val="DefaultParagraphFont"/>
    <w:uiPriority w:val="99"/>
    <w:semiHidden/>
    <w:unhideWhenUsed/>
    <w:rsid w:val="00BA4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MANNINGS</dc:creator>
  <cp:keywords/>
  <dc:description/>
  <cp:lastModifiedBy>Mannings, Paul</cp:lastModifiedBy>
  <cp:revision>20</cp:revision>
  <dcterms:created xsi:type="dcterms:W3CDTF">2021-06-29T08:53:00Z</dcterms:created>
  <dcterms:modified xsi:type="dcterms:W3CDTF">2021-07-05T13:18:00Z</dcterms:modified>
</cp:coreProperties>
</file>